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KRC</w:t>
      </w:r>
      <w:r>
        <w:rPr>
          <w:rFonts w:ascii="Calibri" w:hAnsi="Calibri"/>
          <w:b/>
          <w:color w:val="1A2010"/>
          <w:sz w:val="40"/>
        </w:rPr>
        <w:t xml:space="preserve">  Kilroy Realty Corporation</w:t>
      </w:r>
    </w:p>
    <w:p>
      <w:pPr>
        <w:spacing w:after="120"/>
      </w:pPr>
      <w:r>
        <w:rPr>
          <w:rFonts w:ascii="Calibri" w:hAnsi="Calibri"/>
          <w:b/>
          <w:color w:val="6E8450"/>
          <w:sz w:val="18"/>
        </w:rPr>
        <w:t>DIVIDEND SLEEVE · 2026-09-12 · Inspire: 64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Kilroy Realty Corporation is a premier West Coast real estate investment trust focused on innovation-centric office, life science, and mixed-use properties in Los Angeles, San Francisco, San Diego, Seattle, and Austin. Under CEO Angela Aman (appointed January 2024), Kilroy has pivoted toward disciplined capital recycling, selling $443M of non-core assets to fund the $205M Maple Plaza acquisition in supply-constrained Beverly Hills. Q2 2026 revenue was $272.4M with FFO of $0.92 per share, and occupancy stood at 77.0% (81.5% excluding KOPT). The company raised 2026 FFO guidance to $3.49-$3.63 per share and reported its highest Q1 leasing volume since 2017, driven by AI company demand in San Francisco.</w:t>
      </w:r>
    </w:p>
    <w:p>
      <w:r>
        <w:rPr>
          <w:rFonts w:ascii="Calibri" w:hAnsi="Calibri"/>
          <w:b/>
          <w:color w:val="6E8450"/>
          <w:sz w:val="18"/>
        </w:rPr>
        <w:t>450 Employees · https://www.kilroyrealty.com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CEO Angela Aman executed a meaningful capital recycling program since her January 2024 appointment — $443M of non-core asset sales funding the strategic Maple Plaza acquisition in Beverly Hills and $350M in year-to-date Q1 2026 property sales [1][3]. Leasing on recently vacated space produced positive GAAP spreads of 19.2% and cash spreads of 5.2%. However, these are portfolio management actions within the same office REIT business model, not transformative innovation. AI Deployment (0/2): Kilroy Realty does not deploy AI-powered products or services — the company owns and operates physical real estate. No AI-driven cost savings or operational improvements were cited [3]. Market Share (1/2): Kilroy holds a premier position in West Coast innovation-centric real estate, particularly in San Francisco's SOMA district where AI company demand drove 170% YoY tour activity growth in Q3 2025 [3]. The portfolio is well-positioned for the 'flight to quality' trend in office space. Product Pipeline (1/2): Development pipeline includes projects in attractive West Coast markets, and the company has development expertise to capture AI-driven and life science demand. However, specific development projects with timelines and revenue visibility were not detailed [3]. R&amp;D Intensity (0/1): Not applicable — REITs do not conduct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Kilroy's purpose centers on providing high-quality, sustainable work environments for technology, media, life science, and professional services companies — a generic REIT mission interchangeable with many peers [3]. The company positions itself as a 'pioneer in creating a more sustainable real estate industry' but this reads more as marketing than a transformative vision. Community Impact (1/2): Kilroy has achieved carbon neutral operations since 2020, earned GRESB 5 Star designation in 2024, and been recognized as a Global Listed Office Sector Leader for sustainability [4]. These are genuine environmental commitments. However, charitable giving and community investment programs beyond sustainability were not identified. Employee Retention (1/2): The leadership transition from founder John B. Kilroy Jr. to Angela Aman was handled professionally with deliberate succession planning [3]. As a REIT with approximately 450 employees, the organizational scale is manageable. However, no specific retention or tenure data is available. Insider Buying (0/2): No evidence of meaningful net insider buying by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Kilroy's infrastructure reflects the challenges facing West Coast office REITs — revenue declined 6% YoY in Q2 2026, and occupancy at 77% indicates significant vacancy [1]. D/E of 83% modestly exceeds the 70% target but is reasonable for a REIT. ROE of 6.21% falls well below the 15% target, reflecting the capital-intensive real estate model and occupancy headwinds. Forward P/E of 51.36 is elevated relative to the 20x target — this GAAP-based metric overstates KRC's valuation since REITs are typically valued on FFO (P/FFO of approximately 11.3x on $3.56 midpoint guidance is more representative) [1][5]. Profit margin of 19% approaches the 20% target. Revenue growth 5-year CAGR of approximately 1.5% reflects near-flat revenue over the post-pandemic office downturn. Dividend metrics are mixed: 5.56% yield is attractive, 29 consecutive years of payment anchors the longest streak in the portfolio, but the 79.76% payout ratio approaches the 100% floor, and 5-year dividend growth CAGR of only 0.76% is well below the 6% target [5]. Daily liquidity of ~$60.9M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Kilroy Realty operates with a predominantly finite mindset, typical of REITs that optimize for quarterly FFO, occupancy metrics, and dividend coverage. The company has demonstrated sustainability leadership (carbon neutral since 2020, GRESB 5 Star) which provides some infinite-game character. The new CEO Angela Aman has shown disciplined capital recycling, but strategic decisions appear driven by financial optimization rather than a deeper cause. The company's 'flight to quality' positioning is market-responsive rather than cause-driven, and the office REIT model itself is under structural pressure from remote work and hybrid trends.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Kilroy's purpose of providing quality sustainable work environments is generic for a REIT and does not describe a future state that inspires sacrifice or shapes strategic decisions through multiple cycles [3]. The sustainability leadership position (carbon neutral since 2020) adds some purpose dimension, but this is positioned as a competitive differentiator rather than a transformative cause. The company exists to own and operate real estate for returns — a fundamentally finite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transition from founder John Kilroy Jr. to Angela Aman was handled with deliberate succession planning, suggesting organizational maturity [3]. As a relatively small REIT (~450 employees), the organization is manageable in scale. The company's sustainability culture (carbon neutral since 2020) and GRESB recognition suggest institutional values [4]. However, no specific data on employee empowerment, retention, or cultural practices was found to distinguish Kilroy from typical REIT organizational cultures.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Kilroy's competitive positioning consistently frames competition in terms of quality rather than destruction — the 'flight to quality' strategy acknowledges that premium office space must earn tenants through superior environments rather than competing on price [3]. The company's response to competitive pressure from other office REITs and from remote work is to improve its own offerings (sustainability, amenities, location quality) rather than to 'beat' competitors. The sustainability leadership position suggests competitive motivation oriented toward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Kilroy remains fundamentally an office REIT on the West Coast — the same business model it has operated for decades [3]. While the company is repositioning toward life science and AI-tenant office space and executing a capital recycling program, these are incremental portfolio adjustments within the same asset class, not transformative pivots. The company has not abandoned a core business or made a bet that fundamentally redefined its identity. The office REIT model itself faces structural headwinds from remote work, and Kilroy's response has been to optimize within the model rather than reimagine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Angela Aman's capital recycling program — selling $443M of non-core assets and redeploying into the $205M Maple Plaza acquisition in supply-constrained Beverly Hills — demonstrates willingness to make difficult portfolio decisions that reshape the company [3]. Raising FFO guidance while executing significant dispositions shows disciplined capital allocation. However, these are rational financial optimization decisions rather than the kind of costly long-term bets driven by a higher purpose that Sinek would characterize as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Kilroy Realty offers a 5.56% dividend yield with an emerging AI-driven West Coast office recovery narrative — Q1 2026 delivered the highest leasing volume since 2017, and San Francisco AI company demand hit post-pandemic highs with Kilroy's SOMA assets seeing 170% YoY tour activity growth [1][3]. The raised FFO guidance of $3.49-$3.63 per share implies a P/FFO of approximately 11.3x, attractive relative to the REIT sector average. CEO Angela Aman's disciplined capital recycling — $443M in asset sales funding the strategic Maple Plaza acquisition in Beverly Hills — is improving portfolio quality and positioning the company for the 'flight to quality' trend in West Coast office markets. 29 consecutive years of dividend payments provide income reliability, and AI immunity (score 8/10) means the business benefits from, rather than faces risk from, AI growth.</w:t>
      </w:r>
    </w:p>
    <w:p>
      <w:pPr>
        <w:spacing w:after="120"/>
      </w:pPr>
      <w:r>
        <w:rPr>
          <w:rFonts w:ascii="Calibri" w:hAnsi="Calibri"/>
          <w:b w:val="0"/>
          <w:color w:val="3A4A28"/>
          <w:sz w:val="20"/>
        </w:rPr>
        <w:t>The bear case is anchored in the structural challenges facing West Coast office REITs. Occupancy of 77.0% (81.5% excluding KOPT) remains well below pre-pandemic levels, and revenue declined 6% YoY in Q2 2026, reflecting ongoing tenant attrition and sublease competition [1]. FFO declined 20% from Q2 2025 despite raised full-year guidance, suggesting the recovery is uneven. The 79.76% payout ratio approaches unsustainable levels if earnings continue declining, and the 0.76% 5-year dividend growth CAGR barely exceeds zero — the dividend has been essentially flat for five years despite inflation eroding its real value [5]. The forward P/E of 51.36 (GAAP-based, though P/FFO is more appropriate at 11.3x) reflects market skepticism about future GAAP earnings. Remote and hybrid work adoption remains a secular headwind for office REITs, and a recession would compound tenant losses in an already weak occupancy environment. The San Francisco AI demand narrative is encouraging but concentrated — a pullback in AI capital spending could quickly reverse the tour activity growth that underpins the bull case.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company demand driving West Coast office recovery — San Francisco office demand hit 9M sq ft post-pandemic high in Q3 2025, with Kilroy's SOMA assets seeing 170% YoY tour activity growth, and return-to-office mandates supporting occupancy recovery [3]</w:t>
      </w:r>
    </w:p>
    <w:p>
      <w:pPr>
        <w:spacing w:before="40" w:after="40"/>
        <w:ind w:left="283"/>
      </w:pPr>
      <w:r>
        <w:rPr>
          <w:rFonts w:ascii="Calibri" w:hAnsi="Calibri"/>
          <w:b/>
          <w:color w:val="4A6B25"/>
          <w:sz w:val="20"/>
        </w:rPr>
        <w:t xml:space="preserve">2. </w:t>
      </w:r>
      <w:r>
        <w:rPr>
          <w:rFonts w:ascii="Calibri" w:hAnsi="Calibri"/>
          <w:b w:val="0"/>
          <w:color w:val="3A4A28"/>
          <w:sz w:val="20"/>
        </w:rPr>
        <w:t>Capital recycling program improving portfolio quality — $443M in non-core asset sales funding the strategic Maple Plaza acquisition in supply-constrained Beverly Hills, with $350M in year-to-date property sales generating positive leasing spreads of 19.2% GAAP [1][3]</w:t>
      </w:r>
    </w:p>
    <w:p>
      <w:pPr>
        <w:spacing w:before="40" w:after="40"/>
        <w:ind w:left="283"/>
      </w:pPr>
      <w:r>
        <w:rPr>
          <w:rFonts w:ascii="Calibri" w:hAnsi="Calibri"/>
          <w:b/>
          <w:color w:val="4A6B25"/>
          <w:sz w:val="20"/>
        </w:rPr>
        <w:t xml:space="preserve">3. </w:t>
      </w:r>
      <w:r>
        <w:rPr>
          <w:rFonts w:ascii="Calibri" w:hAnsi="Calibri"/>
          <w:b w:val="0"/>
          <w:color w:val="3A4A28"/>
          <w:sz w:val="20"/>
        </w:rPr>
        <w:t>Raised 2026 FFO guidance to $3.49-$3.63 per share (+$0.21 at midpoint) signals management confidence in the recovery trajectory despite the challenging office market environment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Occupancy of 77.0% (81.5% ex-KOPT) remains well below pre-pandemic levels — sustained vacancy in West Coast office markets compresses revenue and threatens dividend coverage with the payout ratio already at 79.76% [1][5]</w:t>
      </w:r>
    </w:p>
    <w:p>
      <w:pPr>
        <w:spacing w:before="40" w:after="40"/>
        <w:ind w:left="283"/>
      </w:pPr>
      <w:r>
        <w:rPr>
          <w:rFonts w:ascii="Calibri" w:hAnsi="Calibri"/>
          <w:b/>
          <w:color w:val="4A6B25"/>
          <w:sz w:val="20"/>
        </w:rPr>
        <w:t xml:space="preserve">2. </w:t>
      </w:r>
      <w:r>
        <w:rPr>
          <w:rFonts w:ascii="Calibri" w:hAnsi="Calibri"/>
          <w:b w:val="0"/>
          <w:color w:val="3A4A28"/>
          <w:sz w:val="20"/>
        </w:rPr>
        <w:t>Revenue declined 6% YoY in Q2 2026 and FFO declined 20% from Q2 2025, suggesting the occupancy recovery is uneven and may not accelerate fast enough to reverse the negative trajectory before dividend sustainability is tested [1]</w:t>
      </w:r>
    </w:p>
    <w:p>
      <w:pPr>
        <w:spacing w:before="40" w:after="40"/>
        <w:ind w:left="283"/>
      </w:pPr>
      <w:r>
        <w:rPr>
          <w:rFonts w:ascii="Calibri" w:hAnsi="Calibri"/>
          <w:b/>
          <w:color w:val="4A6B25"/>
          <w:sz w:val="20"/>
        </w:rPr>
        <w:t xml:space="preserve">3. </w:t>
      </w:r>
      <w:r>
        <w:rPr>
          <w:rFonts w:ascii="Calibri" w:hAnsi="Calibri"/>
          <w:b w:val="0"/>
          <w:color w:val="3A4A28"/>
          <w:sz w:val="20"/>
        </w:rPr>
        <w:t>Secular headwinds from remote and hybrid work adoption continue to pressure office REIT demand — if AI company demand proves cyclical rather than structural, Kilroy's concentrated West Coast portfolio faces prolonged vacancy and rental rate compression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Kilroy Realty owns and operates physical office and life science buildings — AI structurally cannot replace physical real estate. Better yet, AI companies are a primary demand driver for Kilroy's West Coast portfolio: San Francisco office demand hit a post-pandemic high of 9 million square feet in Q3 2025, driven by AI companies and return-to-office mandates, with Kilroy's SOMA assets seeing 170% YoY tour activity growth [3]. The explosion in AI development is creating demand for high-quality office and lab space in exactly the markets where Kilroy concentrates its portfolio (San Francisco, Los Angeles, San Diego). AI-driven data center construction also increases demand for adjacent office space for the tech workers building and operating those facilities. AI Opportunity (0/1): Kilroy does not generate direct AI revenue. The company benefits from AI-driven tenant demand but does not sell AI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Kilroy Realty Q2 2026 Earnings — Revenue $272.4M, FFO $0.92/Share, Occupancy 77.0%, Revenue -6% YoY, FFO -20% YoY, $350M Year-to-Date Property Sales, August 2026</w:t>
      </w:r>
    </w:p>
    <w:p>
      <w:pPr>
        <w:spacing w:before="20" w:after="20"/>
        <w:ind w:left="170"/>
      </w:pPr>
      <w:r>
        <w:rPr>
          <w:rFonts w:ascii="Calibri" w:hAnsi="Calibri"/>
          <w:b/>
          <w:color w:val="4A6B25"/>
          <w:sz w:val="15"/>
        </w:rPr>
        <w:t xml:space="preserve">2. </w:t>
      </w:r>
      <w:r>
        <w:rPr>
          <w:rFonts w:ascii="Calibri" w:hAnsi="Calibri"/>
          <w:b w:val="0"/>
          <w:color w:val="3A4A28"/>
          <w:sz w:val="17"/>
        </w:rPr>
        <w:t>Kilroy Realty Q1 2026 Earnings — FFO $0.91/Share, Highest Q1 Leasing Volume Since 2017, Raised 2026 FFO Guidance to $3.49-$3.63/Share, Leasing Spreads +19.2% GAAP, April 2026</w:t>
      </w:r>
    </w:p>
    <w:p>
      <w:pPr>
        <w:spacing w:before="20" w:after="20"/>
        <w:ind w:left="170"/>
      </w:pPr>
      <w:r>
        <w:rPr>
          <w:rFonts w:ascii="Calibri" w:hAnsi="Calibri"/>
          <w:b/>
          <w:color w:val="4A6B25"/>
          <w:sz w:val="15"/>
        </w:rPr>
        <w:t xml:space="preserve">3. </w:t>
      </w:r>
      <w:r>
        <w:rPr>
          <w:rFonts w:ascii="Calibri" w:hAnsi="Calibri"/>
          <w:b w:val="0"/>
          <w:color w:val="3A4A28"/>
          <w:sz w:val="17"/>
        </w:rPr>
        <w:t>Kilroy Realty Strategy and Leadership — CEO Angela Aman (Jan 2024), $443M Capital Recycling, Maple Plaza Acquisition ($205M), AI-Driven SOMA Demand +170% YoY Tours, Flight to Quality Positioning, 2024-2026</w:t>
      </w:r>
    </w:p>
    <w:p>
      <w:pPr>
        <w:spacing w:before="20" w:after="20"/>
        <w:ind w:left="170"/>
      </w:pPr>
      <w:r>
        <w:rPr>
          <w:rFonts w:ascii="Calibri" w:hAnsi="Calibri"/>
          <w:b/>
          <w:color w:val="4A6B25"/>
          <w:sz w:val="15"/>
        </w:rPr>
        <w:t xml:space="preserve">4. </w:t>
      </w:r>
      <w:r>
        <w:rPr>
          <w:rFonts w:ascii="Calibri" w:hAnsi="Calibri"/>
          <w:b w:val="0"/>
          <w:color w:val="3A4A28"/>
          <w:sz w:val="17"/>
        </w:rPr>
        <w:t>Kilroy ESG — Carbon Neutral Operations Since 2020, GRESB 5 Star Designation 2024, Global Listed Office Sector Leader, 2030 Sustainability Goals Framework, Sustainalytics Low Controversy,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KRC Key Statistics: Forward P/E 51.36, ROE 6.21%, D/E 83%, Profit Margin 19%, Dividend Yield 5.56%, Stock Price $40.28, Avg Volume 1.51M,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