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KURA</w:t>
      </w:r>
      <w:r>
        <w:rPr>
          <w:rFonts w:ascii="Calibri" w:hAnsi="Calibri"/>
          <w:b/>
          <w:color w:val="1A2010"/>
          <w:sz w:val="40"/>
        </w:rPr>
        <w:t xml:space="preserve">  Kura Oncology, Inc.</w:t>
      </w:r>
    </w:p>
    <w:p>
      <w:pPr>
        <w:spacing w:after="120"/>
      </w:pPr>
      <w:r>
        <w:rPr>
          <w:rFonts w:ascii="Calibri" w:hAnsi="Calibri"/>
          <w:b/>
          <w:color w:val="6E8450"/>
          <w:sz w:val="18"/>
        </w:rPr>
        <w:t>GROWTH SLEEVE · 2026-09-20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Kura Oncology is a biopharmaceutical company focused on precision oncology. Its first commercial product, KOMZIFTI (ziftomenib), is a potent, selective, reversible oral menin inhibitor approved for relapsed/refractory NPM1-mutant acute myeloid leukemia (AML). KOMZIFTI generated $9.1M in Q2 2026 net product revenue (+57% QoQ), with H1 2026 total revenue of $39M. The pipeline includes darlifarnib for solid tumors and KO-7246, a next-generation menin inhibitor targeting cardiometabolic disorders. Co-founded by CEO Troy Wilson, headquartered in San Diego.</w:t>
      </w:r>
    </w:p>
    <w:p>
      <w:r>
        <w:rPr>
          <w:rFonts w:ascii="Calibri" w:hAnsi="Calibri"/>
          <w:b/>
          <w:color w:val="6E8450"/>
          <w:sz w:val="18"/>
        </w:rPr>
        <w:t>260 Employees · https://kuraoncology.com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Kura achieved a landmark FDA approval of KOMZIFTI (ziftomenib) in November 2025, the first approved menin inhibitor, transitioning from clinical-stage to commercial-stage biotech [1]. Q2 2026 net product revenue reached $9.1M (+57% QoQ from $5.8M in Q1), with approximately 115 new patient starts and more than 250 total prescriptions, demonstrating accelerating commercial uptake [1]. AI Deployment (0/2): No evidence of AI-powered products or AI-driven drug discovery tools deployed with measurable results. Market Share (1/2): KOMZIFTI has established early leadership in relapsed/refractory NPM1-mutant AML, achieving a majority share of new patient starts in the menin inhibitor class [1]. However, the addressable market is narrow (~3,000 eligible patients annually in the US), limiting the scale of this share advantage. Pipeline (1/2): Frontline Phase 3 trial in newly-diagnosed AML underway (could expand TAM 5x), darlifarnib (FIT-001 Phase 1) for solid tumors, and KO-7246 for cardiometabolic indications provide pipeline diversity, though all are early-stage [1]. R&amp;D Intensity (0/1): R&amp;D spend relative to revenue is astronomical but reflects clinical-stage burn rate typical of oncology biotechs, not exceptional R&amp;D intensity relative to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Kura's mission — 'realizing the promise of precision oncology' — is clear and patient-focused but not distinctive enough to separate it from dozens of other oncology biotechs; it identifies what they do but lacks the aspirational depth of a transformative purpose [3]. Community Impact (1/2): The FDA approval of KOMZIFTI addressed a genuine unmet need in NPM1-mutant AML with limited treatment options; CEO Troy Wilson was named EY Entrepreneur Of The Year 2025 Pacific Southwest, and Kura highlights its social impact programs with measurable employee engagement [3]. Employee Retention (1/2): Kura reports lower employee turnover rates compared to the biotech industry average, which the company attributes to its emphasis on social impact and collaborative culture [3]. However, specific tenure or turnover figures are not publicly disclosed. Insider Buying (0/2): No evidence of meaningful net insider buying by Troy Wilson or other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KOMZIFTI revenue is ramping rapidly with $9.1M in Q2 2026 (+57% QoQ), and analysts project $97.6M full-year 2026 revenue (+36% YoY) [1][2]. D/E of 50.5% is well below the 70% target (score 1.0), reflecting a conservatively capitalized balance sheet [4]. Revenue growth YoY of 36.5% significantly exceeds the 10% target (score 1.0) [4]. However, ROE of -167.7% is deeply negative (score 0.0 with 2x weight), and profit margin is approximately 0% (score 0.0), both reflecting the company's pre-profitability stage [4]. Forward P/E is negative (excluded as meaningless for unprofitable company). Forward PEG and 5yr revenue CAGR are unavailable. Calculation: D/E 1.0×1 + ROE 0.0×2 + RevYoY 1.0×1 + ProfMgn 0.0×1 = 2.0/5 × 10 = 4. Liquidity: 1.82M avg volume × $11.73 = $21.4M daily, well above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Kura Oncology under co-founder CEO Troy Wilson has demonstrated patient, decade-long commitment to menin inhibitor science, culminating in the first FDA-approved menin inhibitor. The company's purpose of advancing precision oncology is genuine and has guided strategic decisions from founding through commercialization. Pipeline diversification into solid tumors and cardiometabolic disorders shows willingness to extend the platform. However, the transition from clinical-stage to commercial execution introduces finite-game pressures around revenue targets and cash burn, and the competitive framing is market-share-focused.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Kura's purpose of realizing precision oncology for cancer patients is genuine, has been validated by a decade of focused execution on menin biology, and culminated in the FDA approval of KOMZIFTI for an underserved AML patient population [1]. Troy Wilson's 10+ year tenure as co-founder CEO demonstrates personal commitment to the cause. However, the purpose is not yet distinctive enough to stand apart from the broader oncology biotech landscape — dozens of companies articulate similar patient-centric missions — and it hasn't been tested through multiple leadership transitions or strategic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Kura reports lower employee turnover than the biotech industry average and has invested in social impact programs that employees value [3]. The company has made multiple rounds of senior executive promotions from within, suggesting internal talent development and organizational stability. Troy Wilson's EY Entrepreneur of the Year recognition reflects positive external perceptions of leadership quality. However, specific evidence of exceptional psychological safety or trust-building practices beyond industry norms was not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Kura's competitive messaging emphasizes 'establishing early leadership' and achieving 'majority share of new patient starts' in the menin inhibitor class — language focused on winning market position rather than learning from competitors' strengths [1]. The competitive framing against Syndax's revumenib is finite — protecting market position rather than using rivalry to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Kura has shown meaningful flexibility by expanding beyond its original AML focus into solid tumors (darlifarnib) and cardiometabolic disorders (KO-7246), demonstrating willingness to leverage menin biology across therapeutic areas [1]. This platform-extension strategy shows adaptability, though it remains incremental rather than transformative — the company is extending its core menin expertise rather than fundamentally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Troy Wilson demonstrated sustained courage by maintaining focus on menin inhibitor science through a decade of pre-revenue clinical development, resisting market pressure to diversify or seek early acquisition [3]. The decision to pursue accelerated approval for a narrow AML subtype rather than waiting for broader indications shows willingness to prioritize patient access over commercial optimization. Named EY Entrepreneur Of The Year 2025 in recognition of this persistence.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Kura Oncology is executing an accelerating KOMZIFTI launch with Q2 2026 net product revenue of $9.1M (+57% QoQ), approximately 115 new patient starts, and more than 250 total prescriptions establishing first-mover dominance in the menin inhibitor class for NPM1-mutant AML [1]. H1 2026 total revenue reached $39M, and analysts project $97.6M for full-year 2026 (+36% YoY) [2]. The company maintains collaboration revenue guidance of $45-55M in 2026, rising to $90-110M in 2027-2028, providing non-dilutive funding for commercial build-out and pipeline advancement [1]. The conservative balance sheet (D/E 50.5%) and frontline Phase 3 trial in newly-diagnosed AML — which could expand the addressable market 5x from ~3,000 to ~15,000+ patients annually — offer meaningful upside optionality at the current $1.04B market cap.</w:t>
      </w:r>
    </w:p>
    <w:p>
      <w:pPr>
        <w:spacing w:after="120"/>
      </w:pPr>
      <w:r>
        <w:rPr>
          <w:rFonts w:ascii="Calibri" w:hAnsi="Calibri"/>
          <w:b w:val="0"/>
          <w:color w:val="3A4A28"/>
          <w:sz w:val="20"/>
        </w:rPr>
        <w:t>The bear case centers on single-product concentration risk and sustained unprofitability in a narrow market. KOMZIFTI is the sole commercial product, and the relapsed/refractory NPM1-mutant AML population is small (~3,000 US patients annually) — analysts revised 2026 revenue estimates down from $111.4M to $97.6M after Q1 results missed expectations by 30% [2]. The company remains deeply unprofitable with ROE of -167.7% and declining cash reserves, creating a runway clock that ticks louder if product revenue fails to scale toward profitability [4]. Competition from Syndax's revumenib could fragment the addressable market, and Forward P/E is negative, reflecting that profitability is not expected near-term. If the frontline Phase 3 trial disappoints, the narrow approved indication may not support a sustainable commercial business. The WATCH recommendation reflects a promising early commercial trajectory offset by single-product risk, unprofitability, and a narrow addressable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KOMZIFTI revenue accelerating to $9.1M in Q2 2026 (+57% QoQ) with 250+ total prescriptions — continued quarterly growth toward analyst estimates of $97.6M for 2026 would demonstrate commercial viability [1][2]</w:t>
      </w:r>
    </w:p>
    <w:p>
      <w:pPr>
        <w:spacing w:before="40" w:after="40"/>
        <w:ind w:left="283"/>
      </w:pPr>
      <w:r>
        <w:rPr>
          <w:rFonts w:ascii="Calibri" w:hAnsi="Calibri"/>
          <w:b/>
          <w:color w:val="4A6B25"/>
          <w:sz w:val="20"/>
        </w:rPr>
        <w:t xml:space="preserve">2. </w:t>
      </w:r>
      <w:r>
        <w:rPr>
          <w:rFonts w:ascii="Calibri" w:hAnsi="Calibri"/>
          <w:b w:val="0"/>
          <w:color w:val="3A4A28"/>
          <w:sz w:val="20"/>
        </w:rPr>
        <w:t>Frontline Phase 3 trial results in newly-diagnosed NPM1-mutant AML — success would expand the addressable market 5x and transform KOMZIFTI from a niche drug to a standard-of-care in first-line AML treatment [1]</w:t>
      </w:r>
    </w:p>
    <w:p>
      <w:pPr>
        <w:spacing w:before="40" w:after="40"/>
        <w:ind w:left="283"/>
      </w:pPr>
      <w:r>
        <w:rPr>
          <w:rFonts w:ascii="Calibri" w:hAnsi="Calibri"/>
          <w:b/>
          <w:color w:val="4A6B25"/>
          <w:sz w:val="20"/>
        </w:rPr>
        <w:t xml:space="preserve">3. </w:t>
      </w:r>
      <w:r>
        <w:rPr>
          <w:rFonts w:ascii="Calibri" w:hAnsi="Calibri"/>
          <w:b w:val="0"/>
          <w:color w:val="3A4A28"/>
          <w:sz w:val="20"/>
        </w:rPr>
        <w:t>Collaboration revenue guidance of $45-55M in 2026 and $90-110M in 2027-2028 provides non-dilutive funding to sustain operations through the path to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risk with KOMZIFTI as the sole commercial asset — any safety signal, manufacturing disruption, or competitive displacement from Syndax's revumenib would have an outsized impact on revenue and market capitalization [1]</w:t>
      </w:r>
    </w:p>
    <w:p>
      <w:pPr>
        <w:spacing w:before="40" w:after="40"/>
        <w:ind w:left="283"/>
      </w:pPr>
      <w:r>
        <w:rPr>
          <w:rFonts w:ascii="Calibri" w:hAnsi="Calibri"/>
          <w:b/>
          <w:color w:val="4A6B25"/>
          <w:sz w:val="20"/>
        </w:rPr>
        <w:t xml:space="preserve">2. </w:t>
      </w:r>
      <w:r>
        <w:rPr>
          <w:rFonts w:ascii="Calibri" w:hAnsi="Calibri"/>
          <w:b w:val="0"/>
          <w:color w:val="3A4A28"/>
          <w:sz w:val="20"/>
        </w:rPr>
        <w:t>Sustained unprofitability with ROE of -167.7% and near-zero profit margin requires ongoing cash consumption; declining reserves create dilutive financing risk if product revenue growth decelerates [4]</w:t>
      </w:r>
    </w:p>
    <w:p>
      <w:pPr>
        <w:spacing w:before="40" w:after="40"/>
        <w:ind w:left="283"/>
      </w:pPr>
      <w:r>
        <w:rPr>
          <w:rFonts w:ascii="Calibri" w:hAnsi="Calibri"/>
          <w:b/>
          <w:color w:val="4A6B25"/>
          <w:sz w:val="20"/>
        </w:rPr>
        <w:t xml:space="preserve">3. </w:t>
      </w:r>
      <w:r>
        <w:rPr>
          <w:rFonts w:ascii="Calibri" w:hAnsi="Calibri"/>
          <w:b w:val="0"/>
          <w:color w:val="3A4A28"/>
          <w:sz w:val="20"/>
        </w:rPr>
        <w:t>Narrow addressable market of ~3,000 US relapsed/refractory NPM1-mutant AML patients annually caps the near-term revenue opportunity, and analyst estimate revisions (from $111.4M to $97.6M) suggest the market is questioning commercial scalability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Kura's core business — developing and commercializing FDA-approved precision oncology therapeutics — is structurally protected from AI disruption. Drug development requires physical clinical trials, FDA regulatory approval processes, GMP manufacturing, and physician-patient treatment relationships that AI cannot substitute [1]. KOMZIFTI's FDA approval and patent exclusivity provide durable competitive protection. The menin inhibitor class involves molecular targeting of specific genetic mutations (NPM1), requiring wet-lab biology and multi-year regulatory timelines that AI cannot circumvent. However, AI tools are increasingly accelerating competitor drug discovery (target identification, molecular design, clinical trial optimization), which could bring rival menin inhibitors to market faster and compress Kura's first-mover window [2]. AI Opportunity (0/1): No evidence that Kura generates meaningful revenue from AI-related products or services. The company uses precision medicine approaches based on genomic biomarkers, but these are molecular-biology-driven rather than AI-powered.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Kura Oncology Q2 2026 Financial Results — KOMZIFTI $9.1M Net Revenue (+57% QoQ), 115 New Patient Starts, 250+ Total Prescriptions, H1 2026 Revenue $39M, September 2026</w:t>
      </w:r>
    </w:p>
    <w:p>
      <w:pPr>
        <w:spacing w:before="20" w:after="20"/>
        <w:ind w:left="170"/>
      </w:pPr>
      <w:r>
        <w:rPr>
          <w:rFonts w:ascii="Calibri" w:hAnsi="Calibri"/>
          <w:b/>
          <w:color w:val="4A6B25"/>
          <w:sz w:val="15"/>
        </w:rPr>
        <w:t xml:space="preserve">2. </w:t>
      </w:r>
      <w:r>
        <w:rPr>
          <w:rFonts w:ascii="Calibri" w:hAnsi="Calibri"/>
          <w:b w:val="0"/>
          <w:color w:val="3A4A28"/>
          <w:sz w:val="17"/>
        </w:rPr>
        <w:t>Kura Oncology Q1 2026 Earnings — $5.8M Product Revenue, Analyst FY2026 Revenue Estimates Revised to $97.6M (+36% YoY), Collaboration Revenue Guidance $45-55M, May 2026</w:t>
      </w:r>
    </w:p>
    <w:p>
      <w:pPr>
        <w:spacing w:before="20" w:after="20"/>
        <w:ind w:left="170"/>
      </w:pPr>
      <w:r>
        <w:rPr>
          <w:rFonts w:ascii="Calibri" w:hAnsi="Calibri"/>
          <w:b/>
          <w:color w:val="4A6B25"/>
          <w:sz w:val="15"/>
        </w:rPr>
        <w:t xml:space="preserve">3. </w:t>
      </w:r>
      <w:r>
        <w:rPr>
          <w:rFonts w:ascii="Calibri" w:hAnsi="Calibri"/>
          <w:b w:val="0"/>
          <w:color w:val="3A4A28"/>
          <w:sz w:val="17"/>
        </w:rPr>
        <w:t>Kura Oncology Corporate Website — Mission, Leadership (Troy Wilson Ph.D. J.D., EY Entrepreneur of the Year 2025), Social Impact Programs, Executive Promotions,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KURA Key Statistics: Stock Price $11.73, D/E 50.5%, ROE -167.7%, Profit Margin 0.0%, Avg Volume 1.82M, Market Cap $1.04B,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