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KW</w:t>
      </w:r>
      <w:r>
        <w:rPr>
          <w:rFonts w:ascii="Calibri" w:hAnsi="Calibri"/>
          <w:b/>
          <w:color w:val="1A2010"/>
          <w:sz w:val="40"/>
        </w:rPr>
        <w:t xml:space="preserve">  Kennedy-Wilson Holdings, Inc.</w:t>
      </w:r>
    </w:p>
    <w:p>
      <w:pPr>
        <w:spacing w:after="120"/>
      </w:pPr>
      <w:r>
        <w:rPr>
          <w:rFonts w:ascii="Calibri" w:hAnsi="Calibri"/>
          <w:b/>
          <w:color w:val="6E8450"/>
          <w:sz w:val="18"/>
        </w:rPr>
        <w:t>DIVIDEND SLEEVE · 2026-09-22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United States</w:t>
      </w:r>
    </w:p>
    <w:p>
      <w:pPr>
        <w:spacing w:after="80"/>
      </w:pPr>
      <w:r>
        <w:rPr>
          <w:rFonts w:ascii="Calibri" w:hAnsi="Calibri"/>
          <w:b w:val="0"/>
          <w:color w:val="3A4A28"/>
          <w:sz w:val="20"/>
        </w:rPr>
        <w:t>Kennedy-Wilson Holdings, Inc. was a global real estate investment company with $36 billion in assets under management, focusing on multifamily rental housing, industrial properties, and real estate debt origination. Founded in 1977 by CEO William McMorrow. The company completed a take-private transaction on June 16, 2026, acquired by a consortium led by McMorrow and Fairfax Financial Holdings Limited at $10.90 per share in an all-cash transaction valued at US$1.65 billion. KW shares are no longer publicly traded.</w:t>
      </w:r>
    </w:p>
    <w:p>
      <w:r>
        <w:rPr>
          <w:rFonts w:ascii="Calibri" w:hAnsi="Calibri"/>
          <w:b/>
          <w:color w:val="6E8450"/>
          <w:sz w:val="18"/>
        </w:rPr>
        <w:t>321 Employees · https://www.kennedywilson.com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Kennedy-Wilson completed the Toll Brothers Apartment Living platform acquisition ($334M for $5B in AUM) in three phases through Q1 2026, representing the most significant strategic move in recent years [1]. Q1 2026 showed a return to profitability with $24.6M net income and $0.10 EPS, reversing multi-year losses [1]. However, the core business model of acquiring and managing real estate assets has not fundamentally changed in decades. AI Deployment (0/2): No evidence of AI-powered products, AI-driven cost savings, or meaningful AI deployment in real estate operations. Kennedy-Wilson operates a traditional real estate investment model without technology differentiation. Market Share (1/2): KW managed $36B in AUM with strong positions in specific markets (Dublin multifamily, Western U.S.), but is dwarfed by Blackstone, Brookfield, and other major platforms [1]. Product Pipeline (0/2): No next-generation products. The take-private transaction effectively closes the public chapter with no further visibility into future strategy. R&amp;D Intensity (0/1): Not applicable for traditional real estate investment management.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Kennedy-Wilson's corporate responsibility emphasizes creating long-term value for shareholders, communities, and employees through sustainable real estate development [3]. Clear but not distinctively purposeful — most real estate firms articulate similar commitments. Community Impact (1/2): Annual ESG reports document 9.2 million square feet of sustainably certified space and environmental performance programs across the global portfolio [3]. General corporate sustainability rather than distinctive charitable investment. Employee Retention (1/2): CEO McMorrow acquired Kennedy Wilson in 1988 and led for 38 years, growing from 11 employees to a $36B AUM platform — extraordinary founder-led continuity rare in any industry [2]. The entrepreneurial culture encourages proactive investment identification. Insider Buying (2/2): The completed management-led buyout at $10.90/share represents the ultimate insider conviction — McMorrow and senior executives invested their own capital alongside Fairfax Financial to take the company private in a $1.65B all-cash transaction [1][4]. This is the strongest possible signal that leadership believes in long-term value exceeding the buyout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Kennedy-Wilson's financial profile reflects the highly leveraged real estate model with recent improvement in profitability. D/E of 315% exceeds the 300% floor, scoring 0 on this metric — typical for leveraged real estate but representing significant balance sheet risk [5]. ROE of 2.10% is barely positive after recovering from cumulative losses of $336M in 2023-2024 [5]. Revenue growth YoY of 16.3% in Q1 2026 scores well, driven by investment management fee growth of 11% and fair value gains [1]. Profit margin of 15.9% shows meaningful improvement from the prior year's sub-1% margins. Payout ratio is unsustainable at over 400% ($0.48 annual dividend on $0.11 TTM EPS). Consecutive years paid of 16 is the strongest metric (2x weight), reflecting unbroken dividend commitment since 2010 despite multiple years of losses. Consecutive years of dividend growth is 0, and 5yr dividend growth CAGR of approximately -11% reflects cuts from $0.96 to $0.48 annually. Liquidity floor cleared prior to delisting with $15.4M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Kennedy-Wilson demonstrates strong founder-led continuity with McMorrow's 38-year tenure, and the completed take-private transaction represents a bold long-term bet on the company's intrinsic value. However, the management buyout at near-52-week lows raises questions about whether the company is playing to endure or extracting remaining value from public shareholders. Consecutive dividend cuts and years of net losses suggest recent finite thinking, counterbalanced by McMorrow's willingness to invest his own capital in the company's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Kennedy-Wilson's purpose centers on creating long-term real estate value across global markets, but this reads as a business objective rather than a Just Cause [3]. There is no articulated vision of a future state that transcends commercial interests. McMorrow's 38-year commitment demonstrates deep personal dedication, but the motivation appears to be wealth creation and real estate entrepreneurship. The management buyout prioritizes insider control over continued public shareholder participation.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Kennedy-Wilson's 321-person workforce operated across 15 global offices under McMorrow's 38-year leadership, providing extraordinary stability [2]. Glassdoor rating of 4.3/5 with 79% recommending reflects generally positive employee sentiment. The entrepreneurial culture emphasized collaboration and proactive investment identification. However, the take-private transaction creates uncertainty for employees regarding post-transaction roles and compensation structure.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Kennedy-Wilson competes against Blackstone, Brookfield, Starwood, and other major real estate platforms, but management commentary focuses on KW's own deal flow and AUM growth rather than learning from competitors' strengths. No evidence of the worthy rival mindset in public communications or earnings calls.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Kennedy-Wilson evolved meaningfully from a traditional real estate services firm to a global investment platform with $36B AUM, adding real estate debt origination, investment management, and international expansion across the U.K., Ireland, Spain, and Japan [1]. The shift toward multifamily and industrial away from office and retail reflects strategic adaptation. The take-private transaction itself is another transformation, moving from public to private ownership to pursue long-term strategies without quarterly earnings pressure.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McMorrow demonstrated exceptional courage by taking the company private, investing personal capital alongside Fairfax Financial in a $1.65B all-cash transaction at $10.90/share [1][4]. This is leadership putting everything on the line for long-term conviction. McMorrow built the platform from 11 employees through multiple real estate cycles, including counter-cyclical acquisitions during the 2008-2009 financial crisis. The Toll Brothers Apartment Living acquisition ($334M) during real estate market uncertainty shows continued willingness to make large bets. Maintaining dividend payments through years of net losses ($303.8M loss in 2023, $33M loss in 2024) demonstrates commitment to shareholders even at personal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Kennedy-Wilson completed its take-private transaction on June 16, 2026 at $10.90 per share, making this effectively a closed investment thesis for public market investors [4]. The $36B AUM platform anchored by multifamily housing and industrial properties represents durable real estate value, and the Toll Brothers Apartment Living acquisition ($334M for $5B AUM) demonstrates management's conviction in the growth trajectory [1]. Q1 2026 marked a return to profitability with $24.6M net income, investment management fees growing 11% YoY, and fair value gains of $45M in the co-investment portfolio [1]. McMorrow and Fairfax's willingness to invest $1.65B in personal and institutional capital signals deep long-term conviction. The Inspire Impact Score of 54 (ALIGNED) with 13 positive attributions reflects genuine ESG commitment across 9.2M sq ft of sustainably certified space [3].</w:t>
      </w:r>
    </w:p>
    <w:p>
      <w:pPr>
        <w:spacing w:after="120"/>
      </w:pPr>
      <w:r>
        <w:rPr>
          <w:rFonts w:ascii="Calibri" w:hAnsi="Calibri"/>
          <w:b w:val="0"/>
          <w:color w:val="3A4A28"/>
          <w:sz w:val="20"/>
        </w:rPr>
        <w:t>For any investors who held KW through the take-private, the $10.90 buyout price raises concerns about fair value. The management consortium acquired at near-52-week lows following years of financial deterioration — D/E of 315%, cumulative 2023-2024 net losses of $336M, and consecutive dividend cuts from $0.96 to $0.48 annually [5]. The buyout price arguably undervalues the $36B AUM platform and the Q1 2026 profitability inflection. Revenue growth of 16.3% and profit margin of 15.9% in Q1 2026 suggest the turnaround was gaining momentum precisely when McMorrow chose to take the company private, transferring upside from public shareholders to the insider consortium. The 315% D/E ratio remains dangerously high in a higher-rate environment, and the private structure eliminates the transparency that public reporting provided.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Take-private completed at $10.90/share on June 16, 2026 — public shareholders received cash at deal price; no further public market catalysts [4]</w:t>
      </w:r>
    </w:p>
    <w:p>
      <w:pPr>
        <w:spacing w:before="40" w:after="40"/>
        <w:ind w:left="283"/>
      </w:pPr>
      <w:r>
        <w:rPr>
          <w:rFonts w:ascii="Calibri" w:hAnsi="Calibri"/>
          <w:b/>
          <w:color w:val="4A6B25"/>
          <w:sz w:val="20"/>
        </w:rPr>
        <w:t xml:space="preserve">2. </w:t>
      </w:r>
      <w:r>
        <w:rPr>
          <w:rFonts w:ascii="Calibri" w:hAnsi="Calibri"/>
          <w:b w:val="0"/>
          <w:color w:val="3A4A28"/>
          <w:sz w:val="20"/>
        </w:rPr>
        <w:t>Toll Brothers Apartment Living platform ($334M for $5B AUM) positions the private entity for multifamily growth as interest rate headwinds potentially abate [1]</w:t>
      </w:r>
    </w:p>
    <w:p>
      <w:pPr>
        <w:spacing w:before="40" w:after="40"/>
        <w:ind w:left="283"/>
      </w:pPr>
      <w:r>
        <w:rPr>
          <w:rFonts w:ascii="Calibri" w:hAnsi="Calibri"/>
          <w:b/>
          <w:color w:val="4A6B25"/>
          <w:sz w:val="20"/>
        </w:rPr>
        <w:t xml:space="preserve">3. </w:t>
      </w:r>
      <w:r>
        <w:rPr>
          <w:rFonts w:ascii="Calibri" w:hAnsi="Calibri"/>
          <w:b w:val="0"/>
          <w:color w:val="3A4A28"/>
          <w:sz w:val="20"/>
        </w:rPr>
        <w:t>Q1 2026 return to profitability ($24.6M net income, $0.10 EPS) with investment management fees growing 11% signals potential turnaround that McMorrow and Fairfax will capture as private owners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no longer publicly traded — KW shares were delisted following the June 16, 2026 take-private completion, making this screening historical rather than actionable [4]</w:t>
      </w:r>
    </w:p>
    <w:p>
      <w:pPr>
        <w:spacing w:before="40" w:after="40"/>
        <w:ind w:left="283"/>
      </w:pPr>
      <w:r>
        <w:rPr>
          <w:rFonts w:ascii="Calibri" w:hAnsi="Calibri"/>
          <w:b/>
          <w:color w:val="4A6B25"/>
          <w:sz w:val="20"/>
        </w:rPr>
        <w:t xml:space="preserve">2. </w:t>
      </w:r>
      <w:r>
        <w:rPr>
          <w:rFonts w:ascii="Calibri" w:hAnsi="Calibri"/>
          <w:b w:val="0"/>
          <w:color w:val="3A4A28"/>
          <w:sz w:val="20"/>
        </w:rPr>
        <w:t>Severe leverage — D/E of 315% creates amplified exposure to interest rate increases and property value declines, with minimal equity cushion against further writedowns [5]</w:t>
      </w:r>
    </w:p>
    <w:p>
      <w:pPr>
        <w:spacing w:before="40" w:after="40"/>
        <w:ind w:left="283"/>
      </w:pPr>
      <w:r>
        <w:rPr>
          <w:rFonts w:ascii="Calibri" w:hAnsi="Calibri"/>
          <w:b/>
          <w:color w:val="4A6B25"/>
          <w:sz w:val="20"/>
        </w:rPr>
        <w:t xml:space="preserve">3. </w:t>
      </w:r>
      <w:r>
        <w:rPr>
          <w:rFonts w:ascii="Calibri" w:hAnsi="Calibri"/>
          <w:b w:val="0"/>
          <w:color w:val="3A4A28"/>
          <w:sz w:val="20"/>
        </w:rPr>
        <w:t>Management buyout at $10.90 near multi-year lows may have undervalued the $36B AUM platform, with the Q1 2026 profitability inflection transferring upside from public shareholders to the insider consortium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Kennedy-Wilson's core business — owning, operating, and managing physical real estate assets (multifamily housing, industrial properties, commercial buildings) — is structurally immune to AI disruption [2]. Physical real estate cannot be digitally replicated. Property management, tenant relationships, construction oversight, and maintenance are hands-on operations with no AI substitution pathway. Real estate debt origination requires human judgment, legal expertise, and relationship-based deal sourcing. The investment management platform ($36B AUM) relies on experience-based judgment about market cycles, property valuations, and development opportunities that resist algorithmic replacement. AI Opportunity (0/1): Kennedy-Wilson does not generate revenue from AI-related products or services. No evidence of AI deployment generating quantifiable revenue or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Kennedy Wilson Reports First Quarter 2026 Results — revenue $117.2M, net income $24.6M, investment management fees $28M (+11%), fair value gains $45M, dividend reaffirmed at $0.12/quarter; BusinessWire, Morningstar,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Kennedy-Wilson Corporate Profile — CEO McMorrow 38-year tenure, 321 employees, $36B AUM, global operations; kennedywilson.com, Wikipedia, Comparably,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Kennedy-Wilson ESG Report — 9.2M sq ft sustainably certified space, environmental performance programs, corporate responsibility commitments; ir.kennedywilson.com, July 2024</w:t>
      </w:r>
    </w:p>
    <w:p>
      <w:pPr>
        <w:spacing w:before="20" w:after="20"/>
        <w:ind w:left="170"/>
      </w:pPr>
      <w:r>
        <w:rPr>
          <w:rFonts w:ascii="Calibri" w:hAnsi="Calibri"/>
          <w:b/>
          <w:color w:val="4A6B25"/>
          <w:sz w:val="15"/>
        </w:rPr>
        <w:t xml:space="preserve">4. </w:t>
      </w:r>
      <w:r>
        <w:rPr>
          <w:rFonts w:ascii="Calibri" w:hAnsi="Calibri"/>
          <w:b w:val="0"/>
          <w:color w:val="3A4A28"/>
          <w:sz w:val="17"/>
        </w:rPr>
        <w:t>Kennedy Wilson Take-Private Transaction — $10.90/share all-cash, $1.65B deal, consortium led by McMorrow and Fairfax Financial, completed June 16, 2026; BusinessWire, Insurance Business, Cravath, June-July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GuruFocus — KW financial metrics, D/E 315.34%, ROE 2.10%, dividend yield 4.36%, avg daily volume 1.41M pre-delisting;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