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LBRDK</w:t>
      </w:r>
      <w:r>
        <w:rPr>
          <w:rFonts w:ascii="Calibri" w:hAnsi="Calibri"/>
          <w:b/>
          <w:color w:val="1A2010"/>
          <w:sz w:val="40"/>
        </w:rPr>
        <w:t xml:space="preserve">  Liberty Broadband Corporation</w:t>
      </w:r>
    </w:p>
    <w:p>
      <w:pPr>
        <w:spacing w:after="120"/>
      </w:pPr>
      <w:r>
        <w:rPr>
          <w:rFonts w:ascii="Calibri" w:hAnsi="Calibri"/>
          <w:b/>
          <w:color w:val="6E8450"/>
          <w:sz w:val="18"/>
        </w:rPr>
        <w:t>GROWTH SLEEVE · 2026-09-25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United States</w:t>
      </w:r>
    </w:p>
    <w:p>
      <w:pPr>
        <w:spacing w:after="80"/>
      </w:pPr>
      <w:r>
        <w:rPr>
          <w:rFonts w:ascii="Calibri" w:hAnsi="Calibri"/>
          <w:b w:val="0"/>
          <w:color w:val="3A4A28"/>
          <w:sz w:val="20"/>
        </w:rPr>
        <w:t>Liberty Broadband Corporation is a holding company whose primary asset is an approximately 26% equity stake in Charter Communications (CHTR), the second-largest U.S. cable operator, along with direct ownership of GCI, the largest communications provider in Alaska. The company is part of John Malone's Liberty family of companies and trades at a persistent discount to the net asset value of its Charter holdings. FY2025 GCI standalone revenue was $1.0B (+3% YoY). Consolidated Q2 2026 results (including Charter proportional consolidation) showed revenue of $13.5B with a net loss of $2.1B driven by impairment charges. A pending merger with Charter Communications would simplify the corporate structure. Market cap is approximately $5.2B.</w:t>
      </w:r>
    </w:p>
    <w:p>
      <w:r>
        <w:rPr>
          <w:rFonts w:ascii="Calibri" w:hAnsi="Calibri"/>
          <w:b/>
          <w:color w:val="6E8450"/>
          <w:sz w:val="18"/>
        </w:rPr>
        <w:t>7,300 Employees · https://www.libertybroadband.com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Liberty Broadband is a holding company and investment vehicle, not an operating innovator. Its primary activity over the last five years has been managing its Charter Communications stake and operating GCI's Alaska telecom business, with no meaningful product launches, market pivots, or business model transformations [1]. The pending Charter merger is a structural simplification, not an innovation. AI Deployment (0/2): No evidence of AI-powered products shipping to customers or quantified AI-driven operational savings at either the holding company level or within GCI [2]. Market Share (1/2): GCI is the dominant communications provider in Alaska, holding leading market share in a geographically constrained but essential market. The Charter stake provides indirect exposure to the 2nd largest U.S. cable operator's market position, but Liberty Broadband does not operate Charter [1]. Product Pipeline (0/2): No specific next-generation products with named timelines and revenue visibility were identified. GCI's fiber expansion in Alaska is incremental infrastructure buildout, not a new product category. R&amp;D Intensity (0/1): As a holding company with a subsidiary telecom operator, Liberty Broadband does not maintain R&amp;D investment at above-industry-average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Liberty Broadband's stated approach centers on 'aligning business strategies with the long-term interests of all stakeholders' — generic corporate boilerplate that could apply to any holding company [3]. The company exists primarily as a financial engineering vehicle for John Malone's investment in Charter Communications, with no distinctive mission or purpose articulated beyond capital allocation and shareholder value. Community Impact (0/2): GCI likely provides community value in Alaska as the dominant telecom provider, but no specific charitable programs, foundation activities, or community investment with dollar amounts or measurable impact were identified. Employee Retention (0/2): No Glassdoor reviews or employee culture data were found for Liberty Broadband or GCI. The holding company structure with a small corporate team provides minimal data on organizational trust or retention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several unavailable due to the holding company structure. D/E of 37.9% is conservative, well below the 70% target, scoring 1.0 [4]. Forward P/E of 5.4x is extremely low, reflecting the persistent NAV discount typical of Liberty tracking stocks, scoring 1.0. However, ROE of -68.4% (driven by impairment charges on the Charter stake and GCI operations) scores 0.0 (2x weight). Profit margin of 0.0% scores 0.0. Estimated GCI revenue growth YoY of ~3% scores 0.77, and estimated 5-year revenue CAGR of ~3% scores 0.53 (2x weight). The very low forward P/E and clean balance sheet are offset by negative returns on equity and zero profit margin, both reflecting the holding company structure and Q2 2026 impairment charges. Average daily volume data was unavailable from yfinance, but the stock trades on NASDAQ with $5.2B market cap and is sufficiently liquid.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Liberty Broadband is a fundamentally finite player — a holding company vehicle designed to monetize John Malone's investment in Charter Communications through financial engineering (tracking stocks, tax-efficient structures, NAV arbitrage). The company has no articulated Just Cause beyond shareholder value maximization, no organizational culture to evaluate at the holding company level, and exists primarily as a tax-efficient wrapper around a cable operator stake. The Liberty family's decades-long history of restructurings, spin-offs, and tracking stocks demonstrates financial flexibility but serves financial optimization rather than any deeper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Liberty Broadband has no Just Cause. The company exists as a financial engineering vehicle to hold and monetize a ~26% stake in Charter Communications through a tax-efficient structure. There is no articulated vision of a better future, no purpose beyond shareholder value maximization, and no cause that would inspire sacrifice [3]. The generic stakeholder alignment language on the company's website does not constitute a genuine purpose. This is a finite player by design — the entire corporate structure exists to optimize financial returns.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Liberty Broadband operates with a minimal corporate team as a holding company. No Glassdoor reviews, employee culture data, or organizational trust indicators were identified [2]. The holding company structure — with a small executive team managing financial investments rather than operating businesses — provides insufficient evidence to assess organizational trust in any meaningful way. GCI operates more traditionally in Alaska, but no employee culture data was found for that subsidiary either.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Liberty Broadband does not frame its competitive positioning in terms of learning from rivals or self-improvement. The company's competitive dynamics are primarily about NAV discount arbitrage and corporate structure optimization rather than product or service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Liberty family of companies has demonstrated extensive structural flexibility over decades — multiple tracking stocks, spin-offs, mergers, and restructurings (Liberty Interactive to QVC, Liberty TripAdvisor, Liberty Formula One, etc.) [1]. The pending Charter Communications merger would be another significant structural transformation. However, these are financial engineering pivots driven by tax optimization and capital allocation strategy, not transformative business model reinventions driven by a Just Cause. The flexibility is in corporate form, not in purpose or product.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John Malone's decades-long approach to Liberty Broadband reflects patient, long-term capital allocation — maintaining the Charter stake through market volatility and accepting a persistent NAV discount rather than liquidating for short-term value. The decision to pursue the Charter merger required navigating complex governance dynamics and shareholder negotiations [1]. However, these decisions serve financial optimization rather than a higher purpose, and no examples of sacrificing near-term returns for long-term capability in service of a cause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Broadband at 5.4x forward earnings trades at a deep NAV discount to its ~26% Charter Communications stake and direct GCI ownership, creating a sum-of-parts opportunity for patient investors willing to wait for structural simplification. The pending Charter merger would eliminate the holding company discount and create direct ownership value. Charter's broadband infrastructure is a beneficiary of AI-driven demand for connectivity, and GCI's Alaska telecom dominance provides stable revenue [1]. The D/E of 37.9% reflects conservative leverage at the holding company level. FY2025 GCI revenue of $1.0B grew 3% YoY with Adjusted OIBDA margins improving 12% — the subsidiary operations are profitable and stable.</w:t>
      </w:r>
    </w:p>
    <w:p>
      <w:pPr>
        <w:spacing w:after="120"/>
      </w:pPr>
      <w:r>
        <w:rPr>
          <w:rFonts w:ascii="Calibri" w:hAnsi="Calibri"/>
          <w:b w:val="0"/>
          <w:color w:val="3A4A28"/>
          <w:sz w:val="20"/>
        </w:rPr>
        <w:t>The bear case is substantial and drives the low IOWN score. Liberty Broadband is a pure financial engineering vehicle with no independent operating innovation, no mission beyond shareholder value, and deeply negative financial metrics (ROE -68.4%, profit margin 0.0%) driven by Q2 2026 impairment charges of $2.1B on the Charter stake [1]. The company scores 1/10 on Innovation and 1/10 on Inspiration — it creates no products, serves no higher purpose, and has no organizational culture to evaluate at the holding company level. The persistent NAV discount may never close if the Charter merger is delayed or renegotiated. Charter itself faces secular challenges — video subscriber losses, fixed wireless competition from T-Mobile/Verizon, and Starlink satellite broadband in rural markets. Capital intensity is peaking in 2026 with heavy fiber buildout costs. The Inspire Impact Score of -62 (MISALIGNED) with 'Sexually Explicit' negative attribution (likely from Charter's content distribution) limits faith-based investor allocation [4]. The stock is unsuitable for IOWN's Return on Intention framework despite the financial value proposition.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Pending Charter Communications merger closing would eliminate the holding company NAV discount and create direct equity value for Liberty Broadband shareholders [1]</w:t>
      </w:r>
    </w:p>
    <w:p>
      <w:pPr>
        <w:spacing w:before="40" w:after="40"/>
        <w:ind w:left="283"/>
      </w:pPr>
      <w:r>
        <w:rPr>
          <w:rFonts w:ascii="Calibri" w:hAnsi="Calibri"/>
          <w:b/>
          <w:color w:val="4A6B25"/>
          <w:sz w:val="20"/>
        </w:rPr>
        <w:t xml:space="preserve">2. </w:t>
      </w:r>
      <w:r>
        <w:rPr>
          <w:rFonts w:ascii="Calibri" w:hAnsi="Calibri"/>
          <w:b w:val="0"/>
          <w:color w:val="3A4A28"/>
          <w:sz w:val="20"/>
        </w:rPr>
        <w:t>AI-driven demand for broadband connectivity increasing Charter's long-term revenue opportunity as cloud computing, generative AI, and streaming workloads drive bandwidth consumption growth</w:t>
      </w:r>
    </w:p>
    <w:p>
      <w:pPr>
        <w:spacing w:before="40" w:after="40"/>
        <w:ind w:left="283"/>
      </w:pPr>
      <w:r>
        <w:rPr>
          <w:rFonts w:ascii="Calibri" w:hAnsi="Calibri"/>
          <w:b/>
          <w:color w:val="4A6B25"/>
          <w:sz w:val="20"/>
        </w:rPr>
        <w:t xml:space="preserve">3. </w:t>
      </w:r>
      <w:r>
        <w:rPr>
          <w:rFonts w:ascii="Calibri" w:hAnsi="Calibri"/>
          <w:b w:val="0"/>
          <w:color w:val="3A4A28"/>
          <w:sz w:val="20"/>
        </w:rPr>
        <w:t>GCI Alaska fiber expansion improving competitive positioning and driving revenue growth above the 3% YoY rate achieved in FY2025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Charter merger delayed or renegotiated on unfavorable terms, perpetuating the NAV discount and leaving Liberty Broadband as a complex holding company without independent strategic value [1]</w:t>
      </w:r>
    </w:p>
    <w:p>
      <w:pPr>
        <w:spacing w:before="40" w:after="40"/>
        <w:ind w:left="283"/>
      </w:pPr>
      <w:r>
        <w:rPr>
          <w:rFonts w:ascii="Calibri" w:hAnsi="Calibri"/>
          <w:b/>
          <w:color w:val="4A6B25"/>
          <w:sz w:val="20"/>
        </w:rPr>
        <w:t xml:space="preserve">2. </w:t>
      </w:r>
      <w:r>
        <w:rPr>
          <w:rFonts w:ascii="Calibri" w:hAnsi="Calibri"/>
          <w:b w:val="0"/>
          <w:color w:val="3A4A28"/>
          <w:sz w:val="20"/>
        </w:rPr>
        <w:t>Charter faces secular headwinds from fixed wireless competition (T-Mobile, Verizon) and satellite broadband (Starlink) that could compress broadband subscriber growth and pricing power</w:t>
      </w:r>
    </w:p>
    <w:p>
      <w:pPr>
        <w:spacing w:before="40" w:after="40"/>
        <w:ind w:left="283"/>
      </w:pPr>
      <w:r>
        <w:rPr>
          <w:rFonts w:ascii="Calibri" w:hAnsi="Calibri"/>
          <w:b/>
          <w:color w:val="4A6B25"/>
          <w:sz w:val="20"/>
        </w:rPr>
        <w:t xml:space="preserve">3. </w:t>
      </w:r>
      <w:r>
        <w:rPr>
          <w:rFonts w:ascii="Calibri" w:hAnsi="Calibri"/>
          <w:b w:val="0"/>
          <w:color w:val="3A4A28"/>
          <w:sz w:val="20"/>
        </w:rPr>
        <w:t>Q2 2026 impairment charge of $2.1B on Charter stake signals deteriorating valuation of the core asset, and capital intensity peaking in 2026 creates near-term cash flow pressure across the combined entity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Liberty Broadband's core asset value derives from physical broadband infrastructure — Charter Communications' cable/fiber network serving ~32M customers and GCI's telecom infrastructure across Alaska. AI structurally cannot replace physical broadband networks; in fact, AI applications (cloud computing, streaming, generative AI workloads, IoT) significantly increase demand for broadband connectivity, making Charter a net beneficiary of AI adoption [2]. The physical infrastructure, regulatory moats (franchise agreements, spectrum licenses), and enormous capital requirements create structural barriers that AI cannot circumvent. GCI's Alaska telecommunications monopoly is similarly protected by geography and capital intensity. The only exposure is that fixed wireless or satellite broadband (Starlink) could compete with cable in some markets, but this is a technology risk, not an AI risk. AI Opportunity (0/1): No evidence of quantifiable AI-related revenue generation at either the holding company or GCI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Broadband Q2 2026 Earnings — Revenue $13.5B (consolidated), Net Loss $2.1B (impairment), FY2025 GCI Revenue $1.0B (+3%), Charter Merger Update, TipRanks/TradingView/StockAnalysis, July 2026</w:t>
      </w:r>
    </w:p>
    <w:p>
      <w:pPr>
        <w:spacing w:before="20" w:after="20"/>
        <w:ind w:left="170"/>
      </w:pPr>
      <w:r>
        <w:rPr>
          <w:rFonts w:ascii="Calibri" w:hAnsi="Calibri"/>
          <w:b/>
          <w:color w:val="4A6B25"/>
          <w:sz w:val="15"/>
        </w:rPr>
        <w:t xml:space="preserve">2. </w:t>
      </w:r>
      <w:r>
        <w:rPr>
          <w:rFonts w:ascii="Calibri" w:hAnsi="Calibri"/>
          <w:b w:val="0"/>
          <w:color w:val="3A4A28"/>
          <w:sz w:val="17"/>
        </w:rPr>
        <w:t>Liberty Broadband AI Strategy and Leadership — Liberty Global/Malone Family AI Positioning, GCI Operations, Investing.com/Liberty Global Blog,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Liberty Broadband ESG and Corporate Governance — Stakeholder Alignment, Carbon Neutrality Goal (via Charter) by 2035, SASB/TCFD Disclosures, libertybroadband.com,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LBRDK Key Statistics: Forward P/E 5.41x, ROE -68.39%, D/E 37.94%, Profit Margin 0.0%, Stock Price $36.02,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