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LGN</w:t>
      </w:r>
      <w:r>
        <w:rPr>
          <w:rFonts w:ascii="Calibri" w:hAnsi="Calibri"/>
          <w:b/>
          <w:color w:val="1A2010"/>
          <w:sz w:val="40"/>
        </w:rPr>
        <w:t xml:space="preserve">  Legence Corp.</w:t>
      </w:r>
    </w:p>
    <w:p>
      <w:pPr>
        <w:spacing w:after="120"/>
      </w:pPr>
      <w:r>
        <w:rPr>
          <w:rFonts w:ascii="Calibri" w:hAnsi="Calibri"/>
          <w:b/>
          <w:color w:val="6E8450"/>
          <w:sz w:val="18"/>
        </w:rPr>
        <w:t>GROWTH SLEEVE · 2026-10-01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United States</w:t>
      </w:r>
    </w:p>
    <w:p>
      <w:pPr>
        <w:spacing w:after="80"/>
      </w:pPr>
      <w:r>
        <w:rPr>
          <w:rFonts w:ascii="Calibri" w:hAnsi="Calibri"/>
          <w:b w:val="0"/>
          <w:color w:val="3A4A28"/>
          <w:sz w:val="20"/>
        </w:rPr>
        <w:t>Legence Corp. is a leading integrated provider of engineering, consulting, installation, and maintenance services for mission-critical HVAC and MEP systems in buildings. Founded in 1914 as Therma Holdings, acquired by Blackstone in 2020, rebranded as Legence, and IPO'd on NASDAQ in September 2025. The company reported Q2 2026 revenue of $1.262B (+111% YoY) with record backlog of $5.67B, and raised full-year guidance to $4.7-4.8B revenue and $565-585M adjusted EBITDA. Serves data centers, life sciences, healthcare, and commercial buildings.</w:t>
      </w:r>
    </w:p>
    <w:p>
      <w:r>
        <w:rPr>
          <w:rFonts w:ascii="Calibri" w:hAnsi="Calibri"/>
          <w:b/>
          <w:color w:val="6E8450"/>
          <w:sz w:val="18"/>
        </w:rPr>
        <w:t>7,000 Employees · https://www.wearelegence.com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Legence has executed a transformative roll-up strategy under Blackstone, consolidating from Therma Holdings into a national engineering platform through 20+ acquisitions including the major Bowers Group deal. Revenue surged from ~$1.2B (2022) to a $4.7-4.8B 2026 guidance range, with Q2 2026 organic growth of nearly 60% excluding Bowers [1][2]. The IPO at $28/share in September 2025 and subsequent growth represents genuine business model transformation from regional HVAC contractor to national platform. AI Deployment (0/2): Legence is actively hiring AI Transformation Leads for field operations and corporate functions, deploying AI for engineering project workflows and optimization [4]. However, no AI products are shipping to customers and no quantified efficiency gains have been disclosed — this remains exploration-stage. Market Share (1/2): Legence is becoming a significant player in mission-critical building systems, with new building projects (primarily data centers) now comprising 62.2% of revenue, up from 31.5% — demonstrating rapid share gains in the fastest-growing segment of the construction market [1]. Product Pipeline (2/2): Record backlog of $5.67B (up 104.6% YoY) with a book-to-bill ratio of 1.2x provides exceptional revenue visibility through 2027+ [1]. Awarded contracts accelerating, with specific visibility into data center, life sciences, and advanced manufacturing facility pipelines. R&amp;D Intensity (0/1): Engineering services business with no formal R&amp;D spend; innovation comes through operational capabilities and acquisitions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Legence positions itself as an 'Energy Transition Accelerator' focused on 'improving energy efficiency, enhancing reliability, and creating healthier indoor environments' [3]. The sustainability angle connects to a larger purpose (buildings account for ~40% of global carbon emissions), but it was adopted during the Blackstone rebrand and has not been tested through crisis or multi-decade consistency. CEO Sprau emphasizes 'collaboration, humility, and continuous improvement.' Community Impact (0/2): No evidence of specific charitable programs, foundation, or community investment beyond the inherent sustainability value of the company's services. Employee Retention (1/2): Legence was recognized on U.S. News &amp; World Report's 2025-2026 Best Companies to Work For list, and CEO Sprau emphasizes a 'customer-centric culture' built on collaboration and accountability [3][4]. However, integrating 20+ acquired companies with ~7,000 employees is an ongoing cultural challenge, and no specific retention or tenure data is available. Insider Buying (0/2): No evidence of meaningful insider buying; Blackstone remains the dominant shareholder following the September 2025 IPO, and no executive insider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122.3% is elevated from Bowers acquisition debt (score 0.77, 1x weight). ROE of -12.4% is negative on trailing basis due to acquisition costs and integration expenses (score 0.0, 2x weight). Revenue growth YoY of 110.7% is exceptional including organic growth of ~60% (score 1.0, 1x weight). Estimated 3-year revenue CAGR of ~27% (2022 $1.25B to 2025 $2.55B) well exceeds the 10% target (score 1.0, 2x weight). Forward P/E of 21.68 is slightly above the 20 target (score 0.96, 1x weight). Profit margin of -1.2% is thin/negative on trailing basis (score 0.0, 1x weight). Forward PEG excluded (unavailable). Weighted sum 4.73/8 = 6. Daily dollar volume of ~$62.5M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Legence operates with a mixed infinite/finite mindset. The energy transition purpose is genuine and connects to sustainability, but the company's identity has been largely shaped by Blackstone's private equity strategy of acquisition-driven growth and IPO monetization — fundamentally a finite game. The rapid roll-up from Therma Holdings to national platform shows strategic flexibility, but it remains unclear whether the mission will survive beyond the current ownership cycle. The 'profitability first' focus since IPO suggests pragmatism is balanced with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Legence's positioning around energy transition and sustainable building infrastructure connects to a genuine and enduring purpose — reducing energy consumption in the built environment, which accounts for ~40% of global carbon emissions [3]. CEO Sprau describes 'revolutionizing the approach to delivering energy efficient, healthy and sustainable buildings.' The cause is specific and differentiating. However, it was adopted during the Blackstone-era rebrand from Therma Holdings and has not been tested through crisis, making it unvalidated by decades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Legence earned U.S. News &amp; World Report's Best Companies to Work For recognition (2025-2026), and CEO Sprau emphasizes a culture of 'collaboration, humility, and continuous improvement' [3][4]. The company has grown from ~3,000 to ~7,000 employees through acquisitions, making cultural cohesion an ongoing challenge. Mixed Glassdoor feedback with some employees praising culture while others cite concerns about benefits and departures of top performers during rapid integration.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Legence's leadership acknowledges competitors' strengths or frames competition as motivation to improve. The company's language focuses on being 'the leading integrated provider' and the roll-up acquisition strategy inherently treats competitors as targets for absorption rather than worthy rivals [3]. The competitive approach is about market consolidation, not learning from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Legence evolved from Therma Holdings' regional HVAC contracting roots to a national engineering and sustainability platform serving diverse end markets [3]. The pivot toward data center infrastructure (now 62.2% of revenue from new building projects, up from 31.5%) shows meaningful strategic adaptation to market opportunity [1]. The Bowers acquisition broadened capabilities significantly. However, these were Blackstone-directed, incremental moves rather than transformative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Sprau led the company through IPO execution, major acquisition integration (Bowers), and consecutive guidance raises despite macroeconomic uncertainty, targeting $4.7-4.8B revenue in 2026 [1][2]. Taking on significant debt for acquisitions while newly public demonstrates strategic conviction. However, these decisions are supported by Blackstone's financial backing and favorable data center construction tailwinds, reducing the true personal cost of these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Legence is a compelling infrastructure growth story riding three powerful secular tailwinds: AI-driven data center construction, clean energy building retrofits, and life sciences facility expansion. Q2 2026 revenue surged 111% YoY to $1.262B (organic growth ~60%), and management raised full-year guidance to $4.7-4.8B revenue and $565-585M adjusted EBITDA [1]. The $5.67B record backlog (up 104.6% YoY) with a 1.2x book-to-bill ratio provides exceptional forward visibility, and new building projects now account for 62.2% of revenue — up from 31.5% — reflecting the data center construction boom [1][2]. AI infrastructure demand is a multi-year structural tailwind, not a cyclical peak, positioning Legence as a direct beneficiary of the AI buildout.</w:t>
      </w:r>
    </w:p>
    <w:p>
      <w:pPr>
        <w:spacing w:after="120"/>
      </w:pPr>
      <w:r>
        <w:rPr>
          <w:rFonts w:ascii="Calibri" w:hAnsi="Calibri"/>
          <w:b w:val="0"/>
          <w:color w:val="3A4A28"/>
          <w:sz w:val="20"/>
        </w:rPr>
        <w:t>The bear case centers on execution risk in a rapid roll-up strategy and Blackstone's eventual exit. The 111% revenue growth is roughly half acquisition-driven (Bowers Group), and trailing net income remains negative at -$59.8M with profit margins of -1.2% — the path from EBITDA profitability to sustained net income is not guaranteed [5]. The stock has fallen ~50% from its May 2026 all-time high of $107 to $53.68, suggesting the market is questioning the premium for a newly public, PE-backed engineering services rollup. D/E of 122.3% reflects acquisition debt, and Blackstone's controlling stake creates overhang risk as the PE firm eventually monetizes its position. Forward P/E of 21.68 is not cheap for a construction services company, and any slowdown in data center construction spending could rapidly compress backlog conversion rates. Short interest of 5.9% indicates some bearish institutional sentiment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construction boom driven by AI infrastructure demand creating a multi-year tailwind, with $5.67B record backlog up 104.6% YoY providing revenue visibility through 2027+ [1]</w:t>
      </w:r>
    </w:p>
    <w:p>
      <w:pPr>
        <w:spacing w:before="40" w:after="40"/>
        <w:ind w:left="283"/>
      </w:pPr>
      <w:r>
        <w:rPr>
          <w:rFonts w:ascii="Calibri" w:hAnsi="Calibri"/>
          <w:b/>
          <w:color w:val="4A6B25"/>
          <w:sz w:val="20"/>
        </w:rPr>
        <w:t xml:space="preserve">2. </w:t>
      </w:r>
      <w:r>
        <w:rPr>
          <w:rFonts w:ascii="Calibri" w:hAnsi="Calibri"/>
          <w:b w:val="0"/>
          <w:color w:val="3A4A28"/>
          <w:sz w:val="20"/>
        </w:rPr>
        <w:t>Raised 2026 guidance to $4.7-4.8B revenue and $565-585M EBITDA, with organic growth of ~60% demonstrating demand is not purely acquisition-driven [1][2]</w:t>
      </w:r>
    </w:p>
    <w:p>
      <w:pPr>
        <w:spacing w:before="40" w:after="40"/>
        <w:ind w:left="283"/>
      </w:pPr>
      <w:r>
        <w:rPr>
          <w:rFonts w:ascii="Calibri" w:hAnsi="Calibri"/>
          <w:b/>
          <w:color w:val="4A6B25"/>
          <w:sz w:val="20"/>
        </w:rPr>
        <w:t xml:space="preserve">3. </w:t>
      </w:r>
      <w:r>
        <w:rPr>
          <w:rFonts w:ascii="Calibri" w:hAnsi="Calibri"/>
          <w:b w:val="0"/>
          <w:color w:val="3A4A28"/>
          <w:sz w:val="20"/>
        </w:rPr>
        <w:t>Margin expansion potential as the company scales past IPO transition costs and Bowers integration charges, targeting sustained EBITDA margins above 12% on the expanding revenue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Blackstone overhang: controlling shareholder will eventually sell down its stake, creating sustained selling pressure on a stock that has already fallen 50% from its all-time high [5]</w:t>
      </w:r>
    </w:p>
    <w:p>
      <w:pPr>
        <w:spacing w:before="40" w:after="40"/>
        <w:ind w:left="283"/>
      </w:pPr>
      <w:r>
        <w:rPr>
          <w:rFonts w:ascii="Calibri" w:hAnsi="Calibri"/>
          <w:b/>
          <w:color w:val="4A6B25"/>
          <w:sz w:val="20"/>
        </w:rPr>
        <w:t xml:space="preserve">2. </w:t>
      </w:r>
      <w:r>
        <w:rPr>
          <w:rFonts w:ascii="Calibri" w:hAnsi="Calibri"/>
          <w:b w:val="0"/>
          <w:color w:val="3A4A28"/>
          <w:sz w:val="20"/>
        </w:rPr>
        <w:t>Integration risk from rapid roll-up of 20+ companies — cultural integration of ~7,000 employees is complex, and trailing net income remains negative at -$59.8M despite record revenue [1][5]</w:t>
      </w:r>
    </w:p>
    <w:p>
      <w:pPr>
        <w:spacing w:before="40" w:after="40"/>
        <w:ind w:left="283"/>
      </w:pPr>
      <w:r>
        <w:rPr>
          <w:rFonts w:ascii="Calibri" w:hAnsi="Calibri"/>
          <w:b/>
          <w:color w:val="4A6B25"/>
          <w:sz w:val="20"/>
        </w:rPr>
        <w:t xml:space="preserve">3. </w:t>
      </w:r>
      <w:r>
        <w:rPr>
          <w:rFonts w:ascii="Calibri" w:hAnsi="Calibri"/>
          <w:b w:val="0"/>
          <w:color w:val="3A4A28"/>
          <w:sz w:val="20"/>
        </w:rPr>
        <w:t>Margin fragility: net profit margins of -1.2% leave zero buffer for cost overruns on large projects, labor inflation in skilled trades, or any slowdown in the data center construction cycle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Legence's core business — engineering, fabricating, and installing complex HVAC, process piping, and MEP systems in mission-critical buildings — is structurally immune to AI disruption [3]. Physical installation of mechanical and electrical systems in data centers, hospitals, and life sciences facilities requires skilled tradespeople, site-specific engineering judgment, and hands-on construction that AI cannot substitute. Moreover, AI is a direct demand driver: data centers require massive cooling and power infrastructure, and the AI-driven construction boom directly increases demand for Legence's core services — new building projects now account for 62.2% of revenue [1]. AI Opportunity (1/1): While Legence does not sell AI products, AI-related infrastructure represents a quantifiable and growing portion of revenue — data center cooling, power distribution, and MEP systems for AI facilities are driving the 111% revenue growth and $5.67B record backlog, with new building projects (predominantly data centers) at 62.2% of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Legence Corp Q2 2026 Financial Results — Investor Relations, Investing.com, 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Legence Corp Q1 2026 Financial Results — Investor Relations,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Legence About, Careers, and Leadership — wearelegence.com, Blackstone, Forbes Councils,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Legence AI Transformation Roles — Lensa, JobLeads, wearelegence.com,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LGN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