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LHSW</w:t>
      </w:r>
      <w:r>
        <w:rPr>
          <w:rFonts w:ascii="Calibri" w:hAnsi="Calibri"/>
          <w:b/>
          <w:color w:val="1A2010"/>
          <w:sz w:val="40"/>
        </w:rPr>
        <w:t xml:space="preserve">  Lianhe Sowell International Group Ltd.</w:t>
      </w:r>
    </w:p>
    <w:p>
      <w:pPr>
        <w:spacing w:after="120"/>
      </w:pPr>
      <w:r>
        <w:rPr>
          <w:rFonts w:ascii="Calibri" w:hAnsi="Calibri"/>
          <w:b/>
          <w:color w:val="6E8450"/>
          <w:sz w:val="18"/>
        </w:rPr>
        <w:t>GROWTH SLEEVE · 2026-09-02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Machine Vision &amp; Industrial Automation · NASDAQ · China</w:t>
      </w:r>
    </w:p>
    <w:p>
      <w:pPr>
        <w:spacing w:after="80"/>
      </w:pPr>
      <w:r>
        <w:rPr>
          <w:rFonts w:ascii="Calibri" w:hAnsi="Calibri"/>
          <w:b w:val="0"/>
          <w:color w:val="3A4A28"/>
          <w:sz w:val="20"/>
        </w:rPr>
        <w:t>Lianhe Sowell International Group Ltd. provides machine vision products and solutions across manufacturing, transportation, security, and building management industries in China. The company offers industrial machine vision products, AI-powered spray painting robots, intelligent building and transportation solutions, and electronic customs clearance systems. Founded in 2007 and headquartered in Shenzhen, China. FY2026 (ended March 2026) revenue was $43.27M (+18% YoY), but the company reported a $5.7M net loss as operating expenses surged 148%. The stock declined 93%+ over the past 52 weeks, executed a 1:16 reverse split in June 2026, and is pricing a dilutive $11M offering at $1.44/unit in September 2026. Market cap approximately $13.4M.</w:t>
      </w:r>
    </w:p>
    <w:p>
      <w:r>
        <w:rPr>
          <w:rFonts w:ascii="Calibri" w:hAnsi="Calibri"/>
          <w:b/>
          <w:color w:val="6E8450"/>
          <w:sz w:val="18"/>
        </w:rPr>
        <w:t>https://www.lianhesowell.com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Lianhe Sowell executed a significant pivot from traditional machine vision products to AI-powered spray painting robots, with FY2026 revenue growing 18% to $43.27M and electronic products revenue surging 40% to $30.85M (71% of total revenue) [1]. Previously secured a 500-unit robot order valued at RMB200M (~$27M) and delivered to Mercedes-Benz Asia's largest body and paint center. AI Deployment (2/2): Core products are AI-powered — 3D vision recognition, real-time surface mapping, and dynamic path optimization robots shipping to Mercedes-Benz, ASEAN, and African markets [1]. The company's 'precision visual AI painting robot' represents genuine AI deployment in physical-world manufacturing. Market Share (0/2): Micro-cap company ($13.4M market cap) competing against established industrial robot makers like Fanuc and ABB with no evidence of category leadership or meaningful market share. Product Pipeline (1/2): Active expansion pipeline with ASEAN distribution agreements and Africa orders, though specific timelines beyond near-term deliveries are vague [1]. R&amp;D Intensity (1/1): R&amp;D spending surged significantly in FY2026 as part of the 148% operating expense increase, demonstrating heavy investment in product development well above industrial automation peers as a percentage of revenue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No formal mission, purpose, or vision statement found on public materials. The company positions itself as a provider of machine vision and AI robotics solutions but articulates no purpose beyond commercial objectives — entirely interchangeable with any peer. Community Impact (0/2): No evidence of charitable giving, community programs, or social investment beyond normal commercial operations for this small Chinese company. Employee Retention (0/2): No employee retention, tenure, or turnover data available. The company does not disclose headcount. Insider Buying (1/2): CEO Yue Zhu holds 28.9% ownership and was appointed chairman in addition to CEO, consolidating top executive and board leadership roles [2]. The personal financial commitment is notable, though the extreme control consolidation raises governance concerns about minority shareholder protections.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BREACH: Infrastructure score is forced to 0. Average daily volume of 196,489 shares at $3.09 per share yields daily dollar volume of approximately $607,000 — below the $1,000,000 minimum required for IOWN to trade [3]. The stock is too illiquid for portfolio allocation. Beyond the liquidity floor, the underlying metrics are deteriorating: the company reported a $5.7M net loss in FY2026 (vs $3.12M profit in FY2025), operating expenses surged 148% to $16.08M, cash on hand was just $108,745 against $19.1M in total liabilities, and the 1:16 reverse split in June 2026 destroyed pre-split volume [2][3]. A dilutive $11M offering at $1.44/unit (7.64M new shares vs ~4.33M existing) in September 2026 will more than double the share count. The stock has declined 93%+ over the past 52 weeks.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Lianhe Sowell operates with a finite, execution-focused mindset typical of a small Chinese industrial company pursuing aggressive growth. The company has no articulated Just Cause beyond commercial success, and the CEO's consolidation of chairman and CEO roles with 28.9% ownership prioritizes personal control over organizational trust. The pivot to AI robotics shows some strategic flexibility, but decisions appear driven by market opportunity rather than a deeper purpose. The company's financial deterioration (FY2026 net loss, $108K cash, 93% stock decline) suggests finite-game optimization for growth at the expense of financial sustainability.</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evident. The company exists to sell machine vision products and AI robots with no articulated vision of a better future, no purpose statement, and no evidence that leadership references a cause in strategic decisions. This is a finite player focused on revenue growth and market expansion in the Chinese industrial automation space.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employee culture or retention data available. CEO Yue Zhu holds 28.9% ownership and serves as both CEO and chairman, concentrating executive and board power in a single individual [2]. No evidence of employee empowerment, distributed decision-making, or organizational trust. The extreme control consolidation suggests a top-down management structure typical of small Chinese founder-led companies.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The company's communications focus on winning contracts (Mercedes-Benz, ASEAN, Africa) rather than learning from competitors. No acknowledgment of larger rivals' strengths (Fanuc, ABB, KUKA) or evidence that competitive dynamics drive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traditional machine vision and building intelligence products to AI-powered spray painting robots represents meaningful strategic evolution — electronic products revenue surged 40% to represent 71% of FY2026 total revenue [1]. However, this is incremental diversification within adjacent markets (from vision systems to vision-guided robots), not a transformative reinvention of the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invested aggressively in operating expenses (+148%) during FY2026, accepting a $5.7M net loss versus $3.12M net income the prior year to fund the robotics pivot and growth infrastructure [1]. The willingness to sacrifice profitability for product development and market expansion shows some conviction, though it also reflects potential recklessness given the company's minimal cash position ($108K) and the subsequent need for a dilutive $11M offering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Lianhe Sowell offers a speculative exposure to AI-powered industrial robotics at a deeply discounted valuation — FY2026 revenue of $43.27M (+18%) with electronic products surging 40%, prior Mercedes-Benz Asia delivery validation, and ASEAN/Africa expansion providing geographic diversification [1]. The company's AI painting robots address a genuine industrial need (automated automotive refinishing) and the 18% revenue growth demonstrates market demand for the product. At $13.4M market cap against $43.27M in revenue, the stock trades at approximately 0.3x sales, suggesting extreme pessimism is already priced in.</w:t>
      </w:r>
    </w:p>
    <w:p>
      <w:pPr>
        <w:spacing w:after="120"/>
      </w:pPr>
      <w:r>
        <w:rPr>
          <w:rFonts w:ascii="Calibri" w:hAnsi="Calibri"/>
          <w:b w:val="0"/>
          <w:color w:val="3A4A28"/>
          <w:sz w:val="20"/>
        </w:rPr>
        <w:t>The bear case overwhelms the bull case. This is a $13.4M market cap company with $108,745 in cash, $19.1M in total liabilities, a $5.7M FY2026 net loss, and a stock that has declined 93%+ over 52 weeks [2][3]. The 1:16 reverse split in June 2026 destroyed pre-split liquidity, and the $11M dilutive offering at $1.44/unit in September 2026 will more than double the share count. Daily dollar volume of approximately $607K fails the IOWN liquidity floor — the stock is too illiquid to trade safely. Operating expenses surged 148% to $16.08M while revenue grew only 18%, indicating unsustainable cost escalation [1]. CEO Yue Zhu's dual CEO/chairman role with 28.9% ownership creates severe governance risk for minority shareholders. Accounts receivable concentration in Chinese markets carries collection risk. The industrial automation space is intensely competitive, and LHSW lacks the scale, brand, and manufacturing capacity to defend against Fanuc, ABB, or domestic Chinese giants entering the automotive spray painting niche.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completion of the $11M offering in September 2026 would provide near-term liquidity relief, though at significant dilution to existing shareholders [3]</w:t>
      </w:r>
    </w:p>
    <w:p>
      <w:pPr>
        <w:spacing w:before="40" w:after="40"/>
        <w:ind w:left="283"/>
      </w:pPr>
      <w:r>
        <w:rPr>
          <w:rFonts w:ascii="Calibri" w:hAnsi="Calibri"/>
          <w:b/>
          <w:color w:val="4A6B25"/>
          <w:sz w:val="20"/>
        </w:rPr>
        <w:t xml:space="preserve">2. </w:t>
      </w:r>
      <w:r>
        <w:rPr>
          <w:rFonts w:ascii="Calibri" w:hAnsi="Calibri"/>
          <w:b w:val="0"/>
          <w:color w:val="3A4A28"/>
          <w:sz w:val="20"/>
        </w:rPr>
        <w:t>Continued AI painting robot deliveries to Mercedes-Benz Asia and new ASEAN/Africa customers could drive FY2027 revenue growth and demonstrate product-market fit beyond the initial orders [1]</w:t>
      </w:r>
    </w:p>
    <w:p>
      <w:pPr>
        <w:spacing w:before="40" w:after="40"/>
        <w:ind w:left="283"/>
      </w:pPr>
      <w:r>
        <w:rPr>
          <w:rFonts w:ascii="Calibri" w:hAnsi="Calibri"/>
          <w:b/>
          <w:color w:val="4A6B25"/>
          <w:sz w:val="20"/>
        </w:rPr>
        <w:t xml:space="preserve">3. </w:t>
      </w:r>
      <w:r>
        <w:rPr>
          <w:rFonts w:ascii="Calibri" w:hAnsi="Calibri"/>
          <w:b w:val="0"/>
          <w:color w:val="3A4A28"/>
          <w:sz w:val="20"/>
        </w:rPr>
        <w:t>Software revenue mix continuing to grow above 40% of total revenue could drive gross margin expansion if the company can achieve operating leverage on the elevated cost base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LIQUIDITY FLOOR BREACH — daily dollar volume of approximately $607K ($3.09 x 196K avg volume) falls below the $1M minimum, making the stock untradeable for IOWN; the 1:16 reverse split in June 2026 destroyed pre-split volume [3]</w:t>
      </w:r>
    </w:p>
    <w:p>
      <w:pPr>
        <w:spacing w:before="40" w:after="40"/>
        <w:ind w:left="283"/>
      </w:pPr>
      <w:r>
        <w:rPr>
          <w:rFonts w:ascii="Calibri" w:hAnsi="Calibri"/>
          <w:b/>
          <w:color w:val="4A6B25"/>
          <w:sz w:val="20"/>
        </w:rPr>
        <w:t xml:space="preserve">2. </w:t>
      </w:r>
      <w:r>
        <w:rPr>
          <w:rFonts w:ascii="Calibri" w:hAnsi="Calibri"/>
          <w:b w:val="0"/>
          <w:color w:val="3A4A28"/>
          <w:sz w:val="20"/>
        </w:rPr>
        <w:t>Financial distress — $108,745 in cash against $19.1M in total liabilities, $5.7M FY2026 net loss, 148% operating expense surge, and a massively dilutive $11M offering at $1.44/unit that will more than double the share count [2][3]</w:t>
      </w:r>
    </w:p>
    <w:p>
      <w:pPr>
        <w:spacing w:before="40" w:after="40"/>
        <w:ind w:left="283"/>
      </w:pPr>
      <w:r>
        <w:rPr>
          <w:rFonts w:ascii="Calibri" w:hAnsi="Calibri"/>
          <w:b/>
          <w:color w:val="4A6B25"/>
          <w:sz w:val="20"/>
        </w:rPr>
        <w:t xml:space="preserve">3. </w:t>
      </w:r>
      <w:r>
        <w:rPr>
          <w:rFonts w:ascii="Calibri" w:hAnsi="Calibri"/>
          <w:b w:val="0"/>
          <w:color w:val="3A4A28"/>
          <w:sz w:val="20"/>
        </w:rPr>
        <w:t>Governance and geopolitical risk — CEO/chairman dual role with 28.9% ownership, Nasdaq-listed Chinese company subject to HFCAA delisting risk and US-China trade tensions, minimal transparency on employee count and internal operations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Lianhe Sowell IS an AI company — its core products are AI-powered machine vision systems and automated spray painting robots utilizing 3D vision recognition and dynamic path optimization [1]. The business cannot be disrupted by AI because AI is the product itself. Physical manufacturing of robots and installation at automotive paint centers creates tangible moats that pure-software AI companies cannot easily replicate. Scored PROTECTED rather than IMMUNE because the company is tiny ($13.4M market cap) and faces potential competitive disruption from much larger robotics players (Fanuc, ABB, KUKA) that could deploy superior AI-powered solutions at scale with greater resources. AI Opportunity (1/1): Generates essentially all revenue from AI-adjacent products — machine vision systems, intelligent transportation solutions, and automated precision painting robots deployed to Mercedes-Benz Asia and automotive distributors across ASEAN and Africa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Lianhe Sowell FY2026 Financial Results — Revenue $43.27M (+18%), Electronic Products +40%, Operating Expenses +148%, Net Loss $5.7M, GlobeNewswire, August 2026</w:t>
      </w:r>
    </w:p>
    <w:p>
      <w:pPr>
        <w:spacing w:before="20" w:after="20"/>
        <w:ind w:left="170"/>
      </w:pPr>
      <w:r>
        <w:rPr>
          <w:rFonts w:ascii="Calibri" w:hAnsi="Calibri"/>
          <w:b/>
          <w:color w:val="4A6B25"/>
          <w:sz w:val="15"/>
        </w:rPr>
        <w:t xml:space="preserve">2. </w:t>
      </w:r>
      <w:r>
        <w:rPr>
          <w:rFonts w:ascii="Calibri" w:hAnsi="Calibri"/>
          <w:b w:val="0"/>
          <w:color w:val="3A4A28"/>
          <w:sz w:val="17"/>
        </w:rPr>
        <w:t>Lianhe Sowell Leadership &amp; Corporate Actions — CEO Yue Zhu appointed Chairman, 28.9% ownership, 1:16 reverse split June 2026, StockTitan/SEC 6-K,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Simply Wall St, Investing.com — LHSW Key Statistics: Market Cap $13.37M, Stock Price $3.09, Avg Volume 196K, Cash $108K, $11M Offering at $1.44/unit,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