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LILAK</w:t>
      </w:r>
      <w:r>
        <w:rPr>
          <w:rFonts w:ascii="Calibri" w:hAnsi="Calibri"/>
          <w:b/>
          <w:color w:val="1A2010"/>
          <w:sz w:val="40"/>
        </w:rPr>
        <w:t xml:space="preserve">  Liberty Latin America Ltd.</w:t>
      </w:r>
    </w:p>
    <w:p>
      <w:pPr>
        <w:spacing w:after="120"/>
      </w:pPr>
      <w:r>
        <w:rPr>
          <w:rFonts w:ascii="Calibri" w:hAnsi="Calibri"/>
          <w:b/>
          <w:color w:val="6E8450"/>
          <w:sz w:val="18"/>
        </w:rPr>
        <w:t>GROWTH SLEEVE · 2026-10-02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NMS · Bermuda</w:t>
      </w:r>
    </w:p>
    <w:p>
      <w:pPr>
        <w:spacing w:after="80"/>
      </w:pPr>
      <w:r>
        <w:rPr>
          <w:rFonts w:ascii="Calibri" w:hAnsi="Calibri"/>
          <w:b w:val="0"/>
          <w:color w:val="3A4A28"/>
          <w:sz w:val="20"/>
        </w:rPr>
        <w:t>Liberty Latin America is a leading telecommunications company operating in over 20 countries across Latin America and the Caribbean, providing residential and business services including broadband internet, video, telephony, and mobile services through brands including Flow, Liberty, and BTC. Also operates Liberty Networks, a subsea and terrestrial fiber infrastructure business. Q2 2026 revenue of $1.1B with adjusted OIBDA margin expanding to 40%. Spun off from Liberty Global in 2018, headquartered in Denver with operational headquarters in Miami.</w:t>
      </w:r>
    </w:p>
    <w:p>
      <w:r>
        <w:rPr>
          <w:rFonts w:ascii="Calibri" w:hAnsi="Calibri"/>
          <w:b/>
          <w:color w:val="6E8450"/>
          <w:sz w:val="18"/>
        </w:rPr>
        <w:t>9,000 Employees · https://www.lla.com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Liberty Latin America completed the integration of AT&amp;T's Latin American wireless operations and signed a 10-year strategic agreement with Amdocs expected to deliver over $250M in NPV through operational transformation, but these represent scale and efficiency plays rather than product innovation [1][2]. Network investments in fiber and broadband expansion are incremental improvements to the existing telecom model. AI Deployment (0/2): LLA has established an AI governance framework and is rolling out internal AI services centrally, but no AI-powered products are shipping to customers and no specific AI-driven cost savings have been quantified [3]. The AI platform remains in early deployment stage with use cases managed locally by individual operations. Market Share (1/2): Leading cable and broadband provider in specific Caribbean markets including Jamaica, Puerto Rico, Panama, and the Bahamas. Liberty Networks subsea cable segment grew 10% rebased YoY in Q2 2026, the strongest segment [1][2]. Product Pipeline (1/2): Ongoing fiber-to-the-home expansion, Liberty Networks subsea capacity growth, and Amdocs transformation expected to drive operational efficiencies, but specific product launch timelines and next-gen service revenue visibility remain vague [2]. R&amp;D Intensity (0/1): As a telecom operator, R&amp;D spending is minimal relative to revenue; capital expenditure on network infrastructure is the primary investment vehicle.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Liberty Latin America's stated purpose centers on connecting communities across Latin America and the Caribbean through telecommunications. The mission is generic and interchangeable with any regional telecom operator — standard 'delivering value to customers and shareholders' positioning without distinctive articulation of a deeper purpose [3]. Community Impact (1/2): Published annual ESG reports since 2021 aligned to sustainability frameworks, issued a Sustainability-Linked Bond in Costa Rica, and played a critical role in post-hurricane infrastructure rebuilding in Puerto Rico and the Caribbean, demonstrating genuine community engagement [4]. Employee Retention (0/2): Company claims 'very low rate of employee churn' but provides no specific turnover metrics, average tenure figures, or third-party validation. CEO Balan Nair's 8+ year tenure provides leadership continuity, but no organization-wide data exists to distinguish LLA from industry norms [3]. Insider Buying (0/2): No meaningful net insider buying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Liberty Latin America carries extreme leverage with D/E of 905.5%, far above the 300% floor (score 0.0), reflecting $9.0B in total debt against approximately $1.0B equity — a capital structure where the debt exceeds the market cap by 5.5x [1][5]. ROE of -3.7% is negative (score 0.0, 2x weight) though significantly improved from -34.9% a year earlier as operating income expanded. Profit margin of -2.2% is slightly negative (score 0.0) but also improving as adjusted OIBDA margin reached 40% in Q2 2026, up 130bps YoY [1][2]. Revenue growth of 1.5% YoY (score 0.72) and estimated 5yr CAGR of ~3.5% (score 0.57, 2x weight) are modest for a telecom operator. Forward P/E of 20.2 is at the target threshold (score 0.99). Adjusted FCF improved by over $160M YoY in H1 2026, a positive cash flow trajectory [2]. Liquidity: daily dollar volume of $11.4M passes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Liberty Latin America operates as a financial engineering-driven telecom consolidator rather than a purpose-driven infinite game player. Created through a corporate spin-off from Liberty Global in 2018 and grown through debt-funded acquisitions (AT&amp;T Latin America), the company optimizes for scale, synergies, and operational efficiency rather than advancing a compelling vision of a connected future. CEO Nair's 8+ year tenure provides stability, and the company showed resilience rebuilding Caribbean infrastructure post-hurricanes, but the extreme leverage and commodity telecom positioning reflect finite-game optimization.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Liberty Latin America's purpose of connecting communities across Latin America and the Caribbean is genuine in its impact but shallow in articulation — it exists primarily as corporate positioning rather than a deeply held cause that shapes strategic decisions [3]. The company was created via financial engineering (spin-off from Liberty Global) and grew through acquisitions (AT&amp;T Latin America), suggesting the driving force is scale and financial returns rather than a durable vision. The 10-year Amdocs operational transformation deal reinforces efficiency over mission.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Balan Nair has provided 8+ years of leadership continuity since the company's formation, and the executive team has been relatively stable. Company reports 'very low rate of employee churn' and a culture that 'embraces change and initiates opportunity' [3]. Operating across 20+ countries with 9,000 employees requires meaningful organizational trust and delegation. However, no specific evidence of exceptional trust culture or third-party-validated employee data distinguishes LLA from a typical multi-national telecom operator.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Liberty Latin America competes against Claro (America Movil), Digicel, and other regional operators in standard market share competition. Competitive language in earnings calls focuses on subscriber net adds and market share metrics — hallmarks of a finite competitive mindset [1][2]. No evidence of management publicly acknowledging competitors' strengths as motivation for self-improvement or framing competition as a learning opportunity.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Liberty Latin America has evolved from a Liberty Global subsidiary to an independent public company, added mobile capabilities through the AT&amp;T Latin America acquisition, and built the Liberty Networks subsea infrastructure segment into its fastest-growing business (10% rebased growth in Q2 2026) [1][2]. However, these represent scale-driven additions to the same fundamental telecom model, not transformative pivots that redefined the company. The business today is fundamentally the same as 2018.</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Balan Nair invested in rebuilding network infrastructure in Puerto Rico and Caribbean markets following devastating hurricanes, maintaining service commitment in challenging environments [4]. The 10-year Amdocs strategic agreement represents a long-term operational bet expected to deliver $250M+ in NPV [2]. However, the extreme leverage (D/E 905%) and persistent negative earnings suggest financial optimization over courageous long-term investment in capability, and there are no examples of walking away from profitable but misaligned activities.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Liberty Latin America provides essential telecommunications infrastructure across 20+ Caribbean and Latin American markets, generating $4.46B TTM revenue with improving operational metrics — Q2 2026 adjusted OIBDA margin expanded to 40% (up 130bps YoY) and adjusted FCF improved by over $160M in H1 2026 [1][2]. At $8.30 per share with a forward P/E of 20.2x, the stock reflects the significant discount applied to LatAm/Caribbean telecom operations. The Liberty Networks subsea segment grew 10% rebased YoY, the strongest-performing business, and a 10-year strategic agreement with Amdocs is expected to deliver $250M+ in NPV through operational transformation [2]. The narrowing net loss (profit margin improved from -16.6% to -2.2%) suggests a path toward profitability.</w:t>
      </w:r>
    </w:p>
    <w:p>
      <w:pPr>
        <w:spacing w:after="120"/>
      </w:pPr>
      <w:r>
        <w:rPr>
          <w:rFonts w:ascii="Calibri" w:hAnsi="Calibri"/>
          <w:b w:val="0"/>
          <w:color w:val="3A4A28"/>
          <w:sz w:val="20"/>
        </w:rPr>
        <w:t>The bear case centers on Liberty Latin America's extreme leverage and limited organic growth. D/E of 905.5% represents $9.0B in total debt against a $1.6B market cap, creating refinancing and interest rate risk that dominates the equity story [5]. Revenue growth of just 1.5% YoY and an estimated 3.5% 5-year CAGR demonstrate the low-growth reality of mature Caribbean/LatAm telecom markets with population and pricing headwinds. While operational metrics are improving, the company has not yet achieved positive net income, and the path from -2.2% profit margin to sustainable profitability requires continued execution on the Amdocs transformation and subscriber growth. FX exposure across 20+ countries creates additional earnings volatility, and the MISALIGNED Inspire score (-62) from Sexually Explicit content attributions limits the faith-aligned investor base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Operational leverage from subscriber momentum and Amdocs 10-year transformation deal driving adjusted OIBDA margin expansion beyond 40% and path to positive net income [1][2]</w:t>
      </w:r>
    </w:p>
    <w:p>
      <w:pPr>
        <w:spacing w:before="40" w:after="40"/>
        <w:ind w:left="283"/>
      </w:pPr>
      <w:r>
        <w:rPr>
          <w:rFonts w:ascii="Calibri" w:hAnsi="Calibri"/>
          <w:b/>
          <w:color w:val="4A6B25"/>
          <w:sz w:val="20"/>
        </w:rPr>
        <w:t xml:space="preserve">2. </w:t>
      </w:r>
      <w:r>
        <w:rPr>
          <w:rFonts w:ascii="Calibri" w:hAnsi="Calibri"/>
          <w:b w:val="0"/>
          <w:color w:val="3A4A28"/>
          <w:sz w:val="20"/>
        </w:rPr>
        <w:t>Liberty Networks subsea segment growing 10% rebased YoY as digital infrastructure demand increases across Latin America and Caribbean, with wholesale subsea capacity contracts providing long-term revenue visibility [2]</w:t>
      </w:r>
    </w:p>
    <w:p>
      <w:pPr>
        <w:spacing w:before="40" w:after="40"/>
        <w:ind w:left="283"/>
      </w:pPr>
      <w:r>
        <w:rPr>
          <w:rFonts w:ascii="Calibri" w:hAnsi="Calibri"/>
          <w:b/>
          <w:color w:val="4A6B25"/>
          <w:sz w:val="20"/>
        </w:rPr>
        <w:t xml:space="preserve">3. </w:t>
      </w:r>
      <w:r>
        <w:rPr>
          <w:rFonts w:ascii="Calibri" w:hAnsi="Calibri"/>
          <w:b w:val="0"/>
          <w:color w:val="3A4A28"/>
          <w:sz w:val="20"/>
        </w:rPr>
        <w:t>Adjusted FCF improving by $160M+ YoY in H1 2026, enabling potential deleveraging from the 905% D/E ratio and demonstrating the cash-generative capacity of the underlying telecom infrastructure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with D/E of 905.5% and $9.0B in total debt against $1.6B market cap creates existential refinancing risk — any disruption to credit markets or rising interest rates would pressure the already-negative earnings profile [5]</w:t>
      </w:r>
    </w:p>
    <w:p>
      <w:pPr>
        <w:spacing w:before="40" w:after="40"/>
        <w:ind w:left="283"/>
      </w:pPr>
      <w:r>
        <w:rPr>
          <w:rFonts w:ascii="Calibri" w:hAnsi="Calibri"/>
          <w:b/>
          <w:color w:val="4A6B25"/>
          <w:sz w:val="20"/>
        </w:rPr>
        <w:t xml:space="preserve">2. </w:t>
      </w:r>
      <w:r>
        <w:rPr>
          <w:rFonts w:ascii="Calibri" w:hAnsi="Calibri"/>
          <w:b w:val="0"/>
          <w:color w:val="3A4A28"/>
          <w:sz w:val="20"/>
        </w:rPr>
        <w:t>Revenue growth of only 1.5% YoY in mature Caribbean/LatAm markets with population stagnation and competitive intensity from Claro and Digicel limits organic growth potential [1][2]</w:t>
      </w:r>
    </w:p>
    <w:p>
      <w:pPr>
        <w:spacing w:before="40" w:after="40"/>
        <w:ind w:left="283"/>
      </w:pPr>
      <w:r>
        <w:rPr>
          <w:rFonts w:ascii="Calibri" w:hAnsi="Calibri"/>
          <w:b/>
          <w:color w:val="4A6B25"/>
          <w:sz w:val="20"/>
        </w:rPr>
        <w:t xml:space="preserve">3. </w:t>
      </w:r>
      <w:r>
        <w:rPr>
          <w:rFonts w:ascii="Calibri" w:hAnsi="Calibri"/>
          <w:b w:val="0"/>
          <w:color w:val="3A4A28"/>
          <w:sz w:val="20"/>
        </w:rPr>
        <w:t>FX exposure across 20+ Latin American and Caribbean currencies introduces significant earnings volatility to USD-reported results, amplifying the impact of regional economic downturns or currency devaluations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Liberty Latin America's core business — physical telecommunications infrastructure including fiber, cable, mobile towers, and submarine cable systems across 20+ countries — is structurally protected from AI disruption [3]. AI cannot replace physical broadband connections or subsea cables, and AI adoption broadly increases demand for bandwidth and connectivity. The Liberty Networks subsea segment is particularly immune as a critical infrastructure provider. However, consumer-facing services (customer support, billing, content) face AI-driven automation pressure, and AI-enabled competitors could optimize network operations more efficiently. AI Opportunity (0/1): LLA has established an AI governance framework and is rolling out internal AI services, but no quantifiable AI-derived revenue has been identified and no AI products are shipping to external customers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Liberty Latin America Q2 2026 Results — $1.1B Revenue (+1% Reported), Adjusted OIBDA $436M (40% Margin, +130bps), FCF Improvement $160M+ YoY H1 2026, SEC Form 8-K, August 2026</w:t>
      </w:r>
    </w:p>
    <w:p>
      <w:pPr>
        <w:spacing w:before="20" w:after="20"/>
        <w:ind w:left="170"/>
      </w:pPr>
      <w:r>
        <w:rPr>
          <w:rFonts w:ascii="Calibri" w:hAnsi="Calibri"/>
          <w:b/>
          <w:color w:val="4A6B25"/>
          <w:sz w:val="15"/>
        </w:rPr>
        <w:t xml:space="preserve">2. </w:t>
      </w:r>
      <w:r>
        <w:rPr>
          <w:rFonts w:ascii="Calibri" w:hAnsi="Calibri"/>
          <w:b w:val="0"/>
          <w:color w:val="3A4A28"/>
          <w:sz w:val="17"/>
        </w:rPr>
        <w:t>Liberty Latin America Q1 2026 Results and Strategic Updates — Liberty Networks +10% Rebased, Amdocs 10-Year Agreement ($250M+ NPV), BusinessWire/Investing.com, May-August 2026</w:t>
      </w:r>
    </w:p>
    <w:p>
      <w:pPr>
        <w:spacing w:before="20" w:after="20"/>
        <w:ind w:left="170"/>
      </w:pPr>
      <w:r>
        <w:rPr>
          <w:rFonts w:ascii="Calibri" w:hAnsi="Calibri"/>
          <w:b/>
          <w:color w:val="4A6B25"/>
          <w:sz w:val="15"/>
        </w:rPr>
        <w:t xml:space="preserve">3. </w:t>
      </w:r>
      <w:r>
        <w:rPr>
          <w:rFonts w:ascii="Calibri" w:hAnsi="Calibri"/>
          <w:b w:val="0"/>
          <w:color w:val="3A4A28"/>
          <w:sz w:val="17"/>
        </w:rPr>
        <w:t>Liberty Latin America Corporate Website, Executive Team, and AI Strategy — CEO Balan Nair, AI Governance Framework, Employee Culture, lla.com, 2026</w:t>
      </w:r>
    </w:p>
    <w:p>
      <w:pPr>
        <w:spacing w:before="20" w:after="20"/>
        <w:ind w:left="170"/>
      </w:pPr>
      <w:r>
        <w:rPr>
          <w:rFonts w:ascii="Calibri" w:hAnsi="Calibri"/>
          <w:b/>
          <w:color w:val="4A6B25"/>
          <w:sz w:val="15"/>
        </w:rPr>
        <w:t xml:space="preserve">4. </w:t>
      </w:r>
      <w:r>
        <w:rPr>
          <w:rFonts w:ascii="Calibri" w:hAnsi="Calibri"/>
          <w:b w:val="0"/>
          <w:color w:val="3A4A28"/>
          <w:sz w:val="17"/>
        </w:rPr>
        <w:t>Liberty Latin America ESG Reports and Community Initiatives — Sustainability-Linked Bond (Costa Rica), Caribbean Hurricane Rebuilding, ESG Annual Reports, 2021-2026</w:t>
      </w:r>
    </w:p>
    <w:p>
      <w:pPr>
        <w:spacing w:before="20" w:after="20"/>
        <w:ind w:left="170"/>
      </w:pPr>
      <w:r>
        <w:rPr>
          <w:rFonts w:ascii="Calibri" w:hAnsi="Calibri"/>
          <w:b/>
          <w:color w:val="4A6B25"/>
          <w:sz w:val="15"/>
        </w:rPr>
        <w:t xml:space="preserve">5. </w:t>
      </w:r>
      <w:r>
        <w:rPr>
          <w:rFonts w:ascii="Calibri" w:hAnsi="Calibri"/>
          <w:b w:val="0"/>
          <w:color w:val="3A4A28"/>
          <w:sz w:val="17"/>
        </w:rPr>
        <w:t>Yahoo Finance and StockAnalysis — LILAK Key Statistics, D/E 905.5%, $9.0B Total Debt,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