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LIMN</w:t>
      </w:r>
      <w:r>
        <w:rPr>
          <w:rFonts w:ascii="Calibri" w:hAnsi="Calibri"/>
          <w:b/>
          <w:color w:val="1A2010"/>
          <w:sz w:val="40"/>
        </w:rPr>
        <w:t xml:space="preserve">  Liminatus Pharma, Inc.</w:t>
      </w:r>
    </w:p>
    <w:p>
      <w:pPr>
        <w:spacing w:after="120"/>
      </w:pPr>
      <w:r>
        <w:rPr>
          <w:rFonts w:ascii="Calibri" w:hAnsi="Calibri"/>
          <w:b/>
          <w:color w:val="6E8450"/>
          <w:sz w:val="18"/>
        </w:rPr>
        <w:t>GROWTH SLEEVE · 2026-10-09 · Inspire: 24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18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NCM · United States</w:t>
      </w:r>
    </w:p>
    <w:p>
      <w:pPr>
        <w:spacing w:after="80"/>
      </w:pPr>
      <w:r>
        <w:rPr>
          <w:rFonts w:ascii="Calibri" w:hAnsi="Calibri"/>
          <w:b w:val="0"/>
          <w:color w:val="3A4A28"/>
          <w:sz w:val="20"/>
        </w:rPr>
        <w:t>Liminatus Pharma, Inc. is a pre-clinical stage biopharmaceutical company developing cancer therapies. Its lead candidate, IBA101, is a humanized anti-CD47 monoclonal antibody in Phase I clinical trial for advanced solid cancers including non-small cell lung cancer. The company has no revenue, a market capitalization of approximately $4.8M, and reported operating losses of ~$1.1M per quarter with only $1.9M cash on hand as of Q1 CY2026. Founded in 2018 and based in Cerritos, California.</w:t>
      </w:r>
    </w:p>
    <w:p>
      <w:r>
        <w:rPr>
          <w:rFonts w:ascii="Calibri" w:hAnsi="Calibri"/>
          <w:b/>
          <w:color w:val="6E8450"/>
          <w:sz w:val="18"/>
        </w:rPr>
        <w:t>1 Employees · https://liminatuspharma.com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Liminatus is a pre-clinical/early-clinical stage company with no successful product launches, market pivots, or business model transformations. The company has a single drug candidate (IBA101) that remains in Phase I trials with no commercial products or revenue [1]. AI Deployment (0/2): No evidence of AI deployment in drug discovery, clinical trial design, or any other business function. The company has one listed employee and no disclosed technology platform [2]. Market Share (0/2): No market presence — the company has zero revenue and no commercial products. The anti-CD47 antibody space is highly competitive with larger players (Gilead's magrolimab, Pfizer's candidates) significantly ahead in development [1]. Product Pipeline (1/2): IBA101 is a named compound in Phase I trials for advanced solid cancers, representing at least one specific pipeline candidate with an identifiable therapeutic target. However, the company's $1.9M cash position against $1.1M quarterly burn creates severe uncertainty about the pipeline's viability beyond 1-2 quarters [1]. R&amp;D Intensity (0/1): No data available on R&amp;D spending as a percentage of revenue (the company has no revenue), and the one-employee structure provides no basis for comparison to industry R&amp;D norms.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Liminatus describes itself as focused on 'developing cancer therapies,' which is a generic statement of activity rather than a mission — it is interchangeable with hundreds of pre-clinical oncology companies and does not articulate a distinctive purpose or vision beyond treating cancer [2]. Community Impact (0/2): No evidence of charitable giving, community programs, or social investment. The company has one listed employee and a $4.8M market capitalization, leaving no resources for community engagement. Employee Retention (0/2): With one listed employee (the CEO), there is no meaningful workforce to evaluate on retention, tenure, or organizational culture [1]. The company structure provides no basis for assessing trust, empowerment, or mission alignment. Insider Buying (0/2): No evidence of insider buying transactions. Given the nano-cap size and limited public float, insider transaction data is unavailable from standard sources.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most metrics unavailable or at floor values [1]. D/E of 479.9% exceeds the 300% floor (score 0.0), reflecting a heavily leveraged balance sheet relative to minimal equity. Profit margin of 0% is at the 0% floor (score 0.0) — the company generates zero revenue. ROE, Forward P/E, PEG, and revenue growth metrics are all unavailable (null), excluded from the weighted calculation. With only two metrics available (D/E and profit margin), both scoring 0.0, the infrastructure score is 0/10. The liquidity floor check passes marginally at $1.62M daily dollar volume (avg volume 453,281 x $3.57), though recent daily volume of ~19,600 shares ($70K) suggests the average may be inflated by sporadic high-volume sessions and true daily liquidity is far below the $1M threshold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0</w:t>
      </w:r>
      <w:r>
        <w:rPr>
          <w:rFonts w:ascii="Calibri" w:hAnsi="Calibri"/>
          <w:b w:val="0"/>
          <w:color w:val="9DAF88"/>
          <w:sz w:val="18"/>
        </w:rPr>
        <w:t xml:space="preserve"> /10</w:t>
      </w:r>
    </w:p>
    <w:p>
      <w:pPr>
        <w:spacing w:after="120"/>
      </w:pPr>
      <w:r>
        <w:rPr>
          <w:rFonts w:ascii="Calibri" w:hAnsi="Calibri"/>
          <w:b w:val="0"/>
          <w:color w:val="3A4A28"/>
          <w:sz w:val="18"/>
        </w:rPr>
        <w:t>Liminatus Pharma is a nano-cap pre-clinical biotech with no articulated purpose beyond developing its single drug candidate, no evidence of organizational culture or leadership philosophy, and no history of strategic adaptation or competitive learning. With one employee, $4.8M market cap, and $1.9M cash against $1.1M quarterly burn, the company is playing a survival game rather than an infinite game — its existence depends on securing additional financing before cash runs out, likely within 1-2 quarters.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The company articulates no mission, purpose, or vision beyond 'developing cancer therapies,' which describes what it does rather than why it exists [2]. There is no evidence of a Just Cause that shapes strategic decisions, inspires sacrifice, or differentiates Liminatus from any other pre-clinical oncology company. The company exists to advance a single drug candidate, not to advance a vision of a better future.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one listed employee, there is no team to evaluate for trust, psychological safety, or organizational culture [1]. The company has no disclosed organizational structure, no reported employee programs, and no basis for assessing whether people feel safe to take risks, admit mistakes, or challenge leadership. The concept is not applicable at this scale.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awareness or the infinite game mindset of learning from rivals' strengths. The anti-CD47 space includes multiple larger competitors (Gilead, Pfizer, ALX Oncology), but Liminatus has not publicly discussed competitive dynamics or how competitors' advances inform its own development approach [1].</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Liminatus has pursued a single drug candidate (IBA101) since its founding in 2018 and has not demonstrated any strategic pivot or business model adaptation [1]. The company is too small and young to have faced the kind of strategic inflection point Sinek describes, and with $1.9M in cash, it has no resources to fund a pivot even if one were warranted.</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strategic decisions. The company's leadership has pursued a conventional pre-clinical biotech path — develop a drug candidate, file an IND, begin Phase I trials — without any identifiable instance of sacrificing short-term results for long-term capability or making a principled decision that cost money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Liminatus Pharma at $3.57 with a $4.8M market cap is a nano-cap pre-clinical biotech developing IBA101, a humanized anti-CD47 monoclonal antibody in Phase I trials for advanced solid cancers [1]. The anti-CD47 mechanism has legitimate scientific rationale as a macrophage checkpoint inhibitor, and the stock's nano-cap valuation means any positive clinical data could generate significant percentage returns. The company's only real catalyst is clinical trial data from the ongoing Phase I study, and the stock effectively functions as a binary bet on IBA101's efficacy and safety profile.</w:t>
      </w:r>
    </w:p>
    <w:p>
      <w:pPr>
        <w:spacing w:after="120"/>
      </w:pPr>
      <w:r>
        <w:rPr>
          <w:rFonts w:ascii="Calibri" w:hAnsi="Calibri"/>
          <w:b w:val="0"/>
          <w:color w:val="3A4A28"/>
          <w:sz w:val="20"/>
        </w:rPr>
        <w:t>The bear case is overwhelming. Liminatus has zero revenue, one listed employee, a $4.8M market cap, and only $1.9M cash against $1.1M quarterly operating losses — the company faces existential dilution or bankruptcy risk within 1-2 quarters without additional financing [1]. The anti-CD47 space is extremely competitive, with Gilead's magrolimab and multiple other candidates from well-funded pharmaceutical companies significantly further in development. D/E of 479.9% signals a capital structure dependent on continued equity issuance to survive. The stock's recent volume of ~19,600 shares/day (vs. average of 453K) suggests the average is inflated by sporadic trading, making actual daily liquidity approximately $70K — far too illiquid for meaningful position sizing. No analyst covers the stock, forward estimates are unavailable, and the company's S-1 filings reveal ongoing dilution risk through warrant exercises and capital raises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Phase I clinical trial data readout for IBA101 in advanced solid cancers — any positive efficacy signal in non-small cell lung cancer could significantly rerate the stock from its nano-cap valuation [1]</w:t>
      </w:r>
    </w:p>
    <w:p>
      <w:pPr>
        <w:spacing w:before="40" w:after="40"/>
        <w:ind w:left="283"/>
      </w:pPr>
      <w:r>
        <w:rPr>
          <w:rFonts w:ascii="Calibri" w:hAnsi="Calibri"/>
          <w:b/>
          <w:color w:val="4A6B25"/>
          <w:sz w:val="20"/>
        </w:rPr>
        <w:t xml:space="preserve">2. </w:t>
      </w:r>
      <w:r>
        <w:rPr>
          <w:rFonts w:ascii="Calibri" w:hAnsi="Calibri"/>
          <w:b w:val="0"/>
          <w:color w:val="3A4A28"/>
          <w:sz w:val="20"/>
        </w:rPr>
        <w:t>Potential partnership or licensing deal for IBA101's anti-CD47 mechanism — larger pharmaceutical companies have shown interest in the CD47 target, and a partnership could provide non-dilutive funding and validation [1]</w:t>
      </w:r>
    </w:p>
    <w:p>
      <w:pPr>
        <w:spacing w:before="40" w:after="40"/>
        <w:ind w:left="283"/>
      </w:pPr>
      <w:r>
        <w:rPr>
          <w:rFonts w:ascii="Calibri" w:hAnsi="Calibri"/>
          <w:b/>
          <w:color w:val="4A6B25"/>
          <w:sz w:val="20"/>
        </w:rPr>
        <w:t xml:space="preserve">3. </w:t>
      </w:r>
      <w:r>
        <w:rPr>
          <w:rFonts w:ascii="Calibri" w:hAnsi="Calibri"/>
          <w:b w:val="0"/>
          <w:color w:val="3A4A28"/>
          <w:sz w:val="20"/>
        </w:rPr>
        <w:t>Additional financing — successful completion of a capital raise at favorable terms would extend the cash runway beyond the current 1-2 quarter survival window, though at the cost of significant shareholder dilution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Imminent cash depletion — $1.9M cash against $1.1M quarterly burn rate gives approximately 1-2 quarters of runway, creating existential risk of bankruptcy or severely dilutive financing [1]</w:t>
      </w:r>
    </w:p>
    <w:p>
      <w:pPr>
        <w:spacing w:before="40" w:after="40"/>
        <w:ind w:left="283"/>
      </w:pPr>
      <w:r>
        <w:rPr>
          <w:rFonts w:ascii="Calibri" w:hAnsi="Calibri"/>
          <w:b/>
          <w:color w:val="4A6B25"/>
          <w:sz w:val="20"/>
        </w:rPr>
        <w:t xml:space="preserve">2. </w:t>
      </w:r>
      <w:r>
        <w:rPr>
          <w:rFonts w:ascii="Calibri" w:hAnsi="Calibri"/>
          <w:b w:val="0"/>
          <w:color w:val="3A4A28"/>
          <w:sz w:val="20"/>
        </w:rPr>
        <w:t>Competitive obsolescence in the anti-CD47 space — larger competitors (Gilead, Pfizer, ALX Oncology) have more advanced clinical programs, deeper pipelines, and resources that a one-employee nano-cap cannot match [1]</w:t>
      </w:r>
    </w:p>
    <w:p>
      <w:pPr>
        <w:spacing w:before="40" w:after="40"/>
        <w:ind w:left="283"/>
      </w:pPr>
      <w:r>
        <w:rPr>
          <w:rFonts w:ascii="Calibri" w:hAnsi="Calibri"/>
          <w:b/>
          <w:color w:val="4A6B25"/>
          <w:sz w:val="20"/>
        </w:rPr>
        <w:t xml:space="preserve">3. </w:t>
      </w:r>
      <w:r>
        <w:rPr>
          <w:rFonts w:ascii="Calibri" w:hAnsi="Calibri"/>
          <w:b w:val="0"/>
          <w:color w:val="3A4A28"/>
          <w:sz w:val="20"/>
        </w:rPr>
        <w:t>Extreme illiquidity risk — recent daily trading volume of ~19,600 shares ($70K value) makes meaningful position entry or exit nearly impossible without significant market impact, and the $4.8M market cap is below institutional investment thresholds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Liminatus's core business — developing a monoclonal antibody through FDA-regulated clinical trials — is partially PROTECTED by the regulatory framework that requires physical clinical trials, biological manufacturing, and human safety data that AI cannot substitute [1]. FDA approval processes, GMP manufacturing requirements, and the physical nature of antibody therapeutics create meaningful barriers to AI displacement. However, AI-driven drug discovery platforms (e.g., Recursion, Isomorphic Labs, Insilico Medicine) are rapidly improving their ability to identify and optimize drug candidates computationally, which could make small pre-clinical biotechs like Liminatus less competitive in the race to develop novel therapeutics. The anti-CD47 target space is particularly crowded, and AI-enhanced competitors with greater resources could advance superior candidates faster. AI Opportunity (0/1): No evidence of AI-powered drug discovery tools, computational chemistry platforms, or any AI-related capabilities or revenue. The one-employee structure provides no basis for an AI technology platform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24</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Liminatus Pharma SEC Filings — S-1 Registration Statement, 10-Q Q1 CY2026 ($1.9M cash, $1.1M quarterly operating loss, no revenue), IBA101 Phase I clinical trial — SEC EDGAR, 2025-2026</w:t>
      </w:r>
    </w:p>
    <w:p>
      <w:pPr>
        <w:spacing w:before="20" w:after="20"/>
        <w:ind w:left="170"/>
      </w:pPr>
      <w:r>
        <w:rPr>
          <w:rFonts w:ascii="Calibri" w:hAnsi="Calibri"/>
          <w:b/>
          <w:color w:val="4A6B25"/>
          <w:sz w:val="15"/>
        </w:rPr>
        <w:t xml:space="preserve">2. </w:t>
      </w:r>
      <w:r>
        <w:rPr>
          <w:rFonts w:ascii="Calibri" w:hAnsi="Calibri"/>
          <w:b w:val="0"/>
          <w:color w:val="3A4A28"/>
          <w:sz w:val="17"/>
        </w:rPr>
        <w:t>Liminatus Pharma Company Profile — Pre-clinical biopharmaceutical, CEO Chris Kim, 1 employee, IBA101 anti-CD47 antibody — DataInsightsReports, Gurufocus, yfinance,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