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LIN</w:t>
      </w:r>
      <w:r>
        <w:rPr>
          <w:rFonts w:ascii="Calibri" w:hAnsi="Calibri"/>
          <w:b/>
          <w:color w:val="1A2010"/>
          <w:sz w:val="40"/>
        </w:rPr>
        <w:t xml:space="preserve">  Linde plc</w:t>
      </w:r>
    </w:p>
    <w:p>
      <w:pPr>
        <w:spacing w:after="120"/>
      </w:pPr>
      <w:r>
        <w:rPr>
          <w:rFonts w:ascii="Calibri" w:hAnsi="Calibri"/>
          <w:b/>
          <w:color w:val="6E8450"/>
          <w:sz w:val="18"/>
        </w:rPr>
        <w:t>GROWTH SLEEVE · 2026-09-07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Specialty Chemicals · NASDAQ · Ireland</w:t>
      </w:r>
    </w:p>
    <w:p>
      <w:pPr>
        <w:spacing w:after="80"/>
      </w:pPr>
      <w:r>
        <w:rPr>
          <w:rFonts w:ascii="Calibri" w:hAnsi="Calibri"/>
          <w:b w:val="0"/>
          <w:color w:val="3A4A28"/>
          <w:sz w:val="20"/>
        </w:rPr>
        <w:t>Linde plc is the world's largest industrial gas company, providing atmospheric gases (oxygen, nitrogen, argon), process gases (hydrogen, carbon dioxide, helium), and engineering services to healthcare, electronics, energy, food, and manufacturing industries. Formed through the 2018 mega-merger of Linde AG (founded 1879) and Praxair, the company operates in 100+ countries. Q2 2026 sales reached $9.3B (+9% YoY) with adjusted EPS of $4.50 (+10%). Project backlog stands at $11.1B, including a $1B US electronics contract. CEO Sanjiv Lamba leads approximately 66,000 employees. Market cap exceeds $240B.</w:t>
      </w:r>
    </w:p>
    <w:p>
      <w:r>
        <w:rPr>
          <w:rFonts w:ascii="Calibri" w:hAnsi="Calibri"/>
          <w:b/>
          <w:color w:val="6E8450"/>
          <w:sz w:val="18"/>
        </w:rPr>
        <w:t>66,000 Employees · https://www.linde.com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2018 Linde-Praxair mega-merger created the world's largest industrial gas company, but falls slightly outside the 5-year window. Since then, Linde has expanded into electronics specialty gases for semiconductor fabrication, clean hydrogen production, and carbon capture — incremental extensions of the core industrial gas franchise rather than transformative pivots [1]. AI Deployment (1/2): CEO Sanjiv Lamba has made AI and digitalization a top-down corporate strategy — Linde deploys digital twins, AI-powered predictive maintenance, and supply chain analytics across operations [5]. AI is embedded in the business model rather than treated as a science project, though no specific revenue or savings figures are publicly quantified. Market Share (2/2): Undisputed global leader in industrial gases. Linde and Air Liquide together control ~45-50% of the global industrial gas market, with Linde holding the #1 position in the Americas and APAC [1][6]. Product Pipeline (2/2): Project backlog reached $11.1B in Q2 2026, including a major $1B US electronics contract and significant clean hydrogen and carbon capture projects with specific timelines [7]. Revenue guidance of $17.70-$17.90 full-year EPS implies strong backlog conversion. The electronics pipeline is directly tied to semiconductor/AI chip manufacturing expansion. R&amp;D Intensity (1/1): Substantial engineering and process technology investment in absolute terms, supporting proprietary gas production innovations, hydrogen electrolysis, and specialty gas purification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Linde's purpose — 'making our world more productive' — combined with CEO Lamba's emphasis on empowering team members, provides a clear direction but is not distinctively inspiring [5]. The mission guides strategy (productivity through gas solutions) but is interchangeable with many industrial companies and does not describe a future state that doesn't yet exist. Community Impact (1/2): Named to Ethisphere's World's Most Ethical Companies list for the 6th consecutive year (April 2026). Selected for Dow Jones Sustainability World Index for 19th consecutive year. ESG factors comprise 20% of executive short-term incentive plan [3]. These recognitions suggest consistent corporate citizenship, though no specific charitable programs with dollar amounts were identified. Employee Retention (1/2): Glassdoor rating of 3.7/5 with 68% recommending employment is above-average for large industrials [4]. CEO Lamba emphasizes team empowerment and inclusive culture. However, some reviews describe inconsistent management quality across the 66,000-person global workforce. Insider Buying (0/2): No evidence of meaningful insider buying identified in the review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Linde demonstrates strong fundamental quality: D/E of 66% is below the 70% target (score 1.0), ROE of 18.23% exceeds the 15% threshold (score 1.0 at 2x weight), and profit margin of 20.44% meets the 20% target (score 1.0) [6]. Q2 2026 delivered $9.3B revenue (+9% YoY) with adjusted operating profit of $2.74B (+7%) and adj EPS of $4.50 (+10%) [7]. Full-year 2026 guidance of adj EPS $17.70-$17.90 implies 8-9% growth. Revenue growth YoY improved to 9% in Q2 2026, scoring 0.97. The primary drags are the PEG ratio of 3.25 (above the 3.0 floor, scoring 0 at 2x weight) and Forward P/E of 28.34 (score 0.79) [6]. Five-year revenue CAGR of approximately 4.5% scores 0.63 at 2x weight, reflecting Linde's steady but unspectacular organic growth profile. Liquidity is exceptional: $510 x 2.37M avg volume = $1.2B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Linde demonstrates meaningful infinite game qualities rooted in its 147-year heritage. The company has survived two World Wars, multiple industry cycles, and a mega-merger that redefined the global industrial gas industry. The Just Cause, while broadly stated, has been validated by over a century of consistent execution in enabling industrial productivity. The Linde-Praxair merger showed existential flexibility, and the competitive dynamic with Air Liquide reflects worthy rivalry. However, the broad mission lacks the specificity Sinek demands, and cultural inconsistency at the division level prevents a higher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Linde's purpose of 'making our world more productive' through industrial gas solutions has been validated by 147 years of consistent execution — from Carl von Linde's invention of the refrigeration machine in 1876 through to today's clean hydrogen and semiconductor specialty gases [1]. The purpose survived world wars, industry consolidation, and the 2018 Praxair merger. However, 'making our world more productive' is broadly stated and does not describe a specific future state that doesn't yet exist. It functions more as a business philosophy than a Just Cause in Sinek's strict definition, though its durability and strategic alignment are undeniable.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Lamba emphasizes diversity and empowerment, stating the company achieves its greatest successes when 'every team member feels empowered to contribute' [5]. Glassdoor rating of 3.7/5 with 68% recommending employment is above average for industrials, and career development is cited as a positive [4]. However, some reviews describe toxic environments in certain divisions, and management quality varies significantly across the 66,000-person global workforce, suggesting psychological safety is inconsistent.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industrial gas industry operates with an implicit worthy rival dynamic among Linde, Air Liquide, and Air Products. Rather than destructive competition, these companies compete on service quality, innovation, and operational excellence while respecting each other's market positions [6]. The Linde-Praxair merger was motivated by becoming better, not by crushing a rival, and Linde's competitive language focuses on customer outcomes and operational excellence rather than defeating specific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2018 Linde-Praxair merger fundamentally reshaped the global industrial gas industry, creating the world's largest player from two major competitors across continents [1]. Current investment in clean hydrogen and carbon capture represents meaningful strategic evolution in response to the energy transition. However, these are adjacent expansions of the core industrial gas business rather than radical self-reinvention — Linde has always been an industrial gas company and continues to be one, albeit the largest and most diversified.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Linde-Praxair merger required navigating complex international regulatory approvals, significant divestitures, and cultural integration across German and American organizations [1]. Under CEO Lamba, continued investment in hydrogen infrastructure and carbon capture projects represents betting on the energy transition amid uncertain timelines. The $11.1B project backlog, including the $1B US electronics contract, demonstrates willingness to commit capital to long-duration infrastructure projects [7]. The company maintains capital discipline with 22 consecutive years of dividend growth while investing in long-term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Linde is the world's most valuable industrial gas franchise, delivering Q2 2026 revenue of $9.3B (+9% YoY) with adjusted operating profit of $2.74B and adj EPS of $4.50 (+10% YoY), beating consensus estimates [7]. Full-year 2026 guidance of $17.70-$17.90 adj EPS represents 8-9% growth, underpinned by electronics, manufacturing, and chemicals &amp; energy demand. The $11.1B project backlog — including a $1B US electronics contract — provides multi-year revenue visibility. With D/E of 66%, ROE of 18.2%, profit margin of 20.4%, and 22 consecutive years of dividend growth at a 9.8% 5-year CAGR, Linde is a textbook quality compounder [6]. The secular tailwind from AI data center cooling, semiconductor specialty gases, and clean hydrogen positions Linde as critical infrastructure for the AI era — every semiconductor fab and AI data center requires Linde's products.</w:t>
      </w:r>
    </w:p>
    <w:p>
      <w:pPr>
        <w:spacing w:after="120"/>
      </w:pPr>
      <w:r>
        <w:rPr>
          <w:rFonts w:ascii="Calibri" w:hAnsi="Calibri"/>
          <w:b w:val="0"/>
          <w:color w:val="3A4A28"/>
          <w:sz w:val="20"/>
        </w:rPr>
        <w:t>The primary concern is valuation relative to growth. At 28.3x forward earnings and a PEG ratio of 3.25 (above the 3.0 floor), Linde is priced as a premium quality asset in a high-single-digit earnings growth business [6]. The 1.24% dividend yield is below the 2% threshold for income-oriented investors. While Q2 2026 showed improved 9% top-line growth (up from 3% in FY2025), the 5-year revenue CAGR of only ~4.5% demonstrates that acceleration is recent and driven partly by currency tailwinds. Margin performance was flagged below expectations in Q2 due to the US home care business and cost inflation, though sequential improvement is anticipated [7]. EMEA volumes remain soft, and Sustainalytics assigns a 'moderate controversy level' that could affect ESG-focused investors. Any deceleration in AI-driven demand for semiconductor gases and data center cooling could leave the stock without a growth catalyst to justify the premium multiple, particularly if the hydrogen economy timeline extends beyond expectations.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and semiconductor expansion driving incremental demand for industrial cooling gases, ultra-pure nitrogen/argon, and specialty chemicals — the $1B US electronics contract in the $11.1B project backlog directly reflects this structural tailwind [7]</w:t>
      </w:r>
    </w:p>
    <w:p>
      <w:pPr>
        <w:spacing w:before="40" w:after="40"/>
        <w:ind w:left="283"/>
      </w:pPr>
      <w:r>
        <w:rPr>
          <w:rFonts w:ascii="Calibri" w:hAnsi="Calibri"/>
          <w:b/>
          <w:color w:val="4A6B25"/>
          <w:sz w:val="20"/>
        </w:rPr>
        <w:t xml:space="preserve">2. </w:t>
      </w:r>
      <w:r>
        <w:rPr>
          <w:rFonts w:ascii="Calibri" w:hAnsi="Calibri"/>
          <w:b w:val="0"/>
          <w:color w:val="3A4A28"/>
          <w:sz w:val="20"/>
        </w:rPr>
        <w:t>Clean hydrogen project backlog conversion as energy transition investment accelerates globally, with Linde positioned as the world's leading hydrogen producer and distributor across 200+ hydrogen refueling stations and major blue/green hydrogen projects</w:t>
      </w:r>
    </w:p>
    <w:p>
      <w:pPr>
        <w:spacing w:before="40" w:after="40"/>
        <w:ind w:left="283"/>
      </w:pPr>
      <w:r>
        <w:rPr>
          <w:rFonts w:ascii="Calibri" w:hAnsi="Calibri"/>
          <w:b/>
          <w:color w:val="4A6B25"/>
          <w:sz w:val="20"/>
        </w:rPr>
        <w:t xml:space="preserve">3. </w:t>
      </w:r>
      <w:r>
        <w:rPr>
          <w:rFonts w:ascii="Calibri" w:hAnsi="Calibri"/>
          <w:b w:val="0"/>
          <w:color w:val="3A4A28"/>
          <w:sz w:val="20"/>
        </w:rPr>
        <w:t>Continued margin expansion through productivity improvements, pricing discipline, and operating leverage, targeting progression toward 32%+ adjusted operating margins on the merged Linde-Praxair platform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28.3x forward P/E and PEG of 3.25 on a 4.5% 5-year revenue CAGR business leaves minimal margin of safety — any industrial slowdown would compress both earnings and multiple simultaneously [6]</w:t>
      </w:r>
    </w:p>
    <w:p>
      <w:pPr>
        <w:spacing w:before="40" w:after="40"/>
        <w:ind w:left="283"/>
      </w:pPr>
      <w:r>
        <w:rPr>
          <w:rFonts w:ascii="Calibri" w:hAnsi="Calibri"/>
          <w:b/>
          <w:color w:val="4A6B25"/>
          <w:sz w:val="20"/>
        </w:rPr>
        <w:t xml:space="preserve">2. </w:t>
      </w:r>
      <w:r>
        <w:rPr>
          <w:rFonts w:ascii="Calibri" w:hAnsi="Calibri"/>
          <w:b w:val="0"/>
          <w:color w:val="3A4A28"/>
          <w:sz w:val="20"/>
        </w:rPr>
        <w:t>Q2 2026 margin pressure from US home care business and cost inflation suggests profitability improvement may be reaching limits, and FX tailwinds that boosted reported growth may reverse [7]</w:t>
      </w:r>
    </w:p>
    <w:p>
      <w:pPr>
        <w:spacing w:before="40" w:after="40"/>
        <w:ind w:left="283"/>
      </w:pPr>
      <w:r>
        <w:rPr>
          <w:rFonts w:ascii="Calibri" w:hAnsi="Calibri"/>
          <w:b/>
          <w:color w:val="4A6B25"/>
          <w:sz w:val="20"/>
        </w:rPr>
        <w:t xml:space="preserve">3. </w:t>
      </w:r>
      <w:r>
        <w:rPr>
          <w:rFonts w:ascii="Calibri" w:hAnsi="Calibri"/>
          <w:b w:val="0"/>
          <w:color w:val="3A4A28"/>
          <w:sz w:val="20"/>
        </w:rPr>
        <w:t>Hydrogen economy timeline risk — significant capital committed to clean hydrogen production, but regulatory uncertainty, infrastructure delays, and competition from alternative energy solutions could defer returns beyond the project backlog's assumed conversion timeline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Linde's core business — producing and distributing industrial gases through cryogenic air separation units, pipeline networks, and tanker fleets — is structurally immune to AI disruption. Manufacturing oxygen, nitrogen, argon, and hydrogen requires massive physical infrastructure and complex thermodynamics that AI cannot substitute [1]. AI dramatically increases demand for Linde's products: AI data centers require cooling gases (liquid nitrogen); semiconductor fabrication for AI chips needs ultra-pure specialty gases; and the hydrogen economy requires Linde's production and distribution infrastructure [7]. The company's 100+ country physical footprint, long-term take-or-pay contracts, and regulated pipeline networks create moats deepened by the AI revolution. Analysts identify AI as an 'overwhelmingly positive structural force' for Linde rather than a disruption risk [5]. AI Opportunity (1/1): Linde generates quantifiable AI-related revenue through electronics specialty gases for semiconductor fabrication and data center cooling. The $1B US electronics contract in the $11.1B project backlog is directly tied to semiconductor/AI chip demand, and Q2 2026 results cited electronics as a key growth driver alongside manufacturing and chemicals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Linde Q1 2026 Earnings Release — Revenue $8.8B (+8% YoY), Adj EPS $4.33 (+10%) — linde.com, May 2026</w:t>
      </w:r>
    </w:p>
    <w:p>
      <w:pPr>
        <w:spacing w:before="20" w:after="20"/>
        <w:ind w:left="170"/>
      </w:pPr>
      <w:r>
        <w:rPr>
          <w:rFonts w:ascii="Calibri" w:hAnsi="Calibri"/>
          <w:b/>
          <w:color w:val="4A6B25"/>
          <w:sz w:val="15"/>
        </w:rPr>
        <w:t xml:space="preserve">2. </w:t>
      </w:r>
      <w:r>
        <w:rPr>
          <w:rFonts w:ascii="Calibri" w:hAnsi="Calibri"/>
          <w:b w:val="0"/>
          <w:color w:val="3A4A28"/>
          <w:sz w:val="17"/>
        </w:rPr>
        <w:t>Linde Hydrogen Economy and Carbon Capture Investment Strategy — Investor Presentations, 2025-2026</w:t>
      </w:r>
    </w:p>
    <w:p>
      <w:pPr>
        <w:spacing w:before="20" w:after="20"/>
        <w:ind w:left="170"/>
      </w:pPr>
      <w:r>
        <w:rPr>
          <w:rFonts w:ascii="Calibri" w:hAnsi="Calibri"/>
          <w:b/>
          <w:color w:val="4A6B25"/>
          <w:sz w:val="15"/>
        </w:rPr>
        <w:t xml:space="preserve">3. </w:t>
      </w:r>
      <w:r>
        <w:rPr>
          <w:rFonts w:ascii="Calibri" w:hAnsi="Calibri"/>
          <w:b w:val="0"/>
          <w:color w:val="3A4A28"/>
          <w:sz w:val="17"/>
        </w:rPr>
        <w:t>Ethisphere World's Most Ethical Companies (6th Consecutive Year); Dow Jones Sustainability World Index (19th Consecutive Year) — linde.com, 2026</w:t>
      </w:r>
    </w:p>
    <w:p>
      <w:pPr>
        <w:spacing w:before="20" w:after="20"/>
        <w:ind w:left="170"/>
      </w:pPr>
      <w:r>
        <w:rPr>
          <w:rFonts w:ascii="Calibri" w:hAnsi="Calibri"/>
          <w:b/>
          <w:color w:val="4A6B25"/>
          <w:sz w:val="15"/>
        </w:rPr>
        <w:t xml:space="preserve">4. </w:t>
      </w:r>
      <w:r>
        <w:rPr>
          <w:rFonts w:ascii="Calibri" w:hAnsi="Calibri"/>
          <w:b w:val="0"/>
          <w:color w:val="3A4A28"/>
          <w:sz w:val="17"/>
        </w:rPr>
        <w:t>Glassdoor — Linde Employee Reviews (3.7/5, 2,800+ reviews, 68% recommend),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Klover.ai — Linde's AI Strategy: Analysis of AI Dominance in Industrial Gases; Investing.com — AI Infrastructure Boom Fuels Recurring Revenue,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Yahoo Finance — LIN Key Statistics: P/E 31.69, Forward P/E 28.34, PEG 3.25, D/E 66%, ROE 18.23%, Profit Margin 20.44% —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Linde Q2 2026 Earnings Release — Revenue $9.3B (+9% YoY), Adj EPS $4.50 (+10%), Adj Operating Profit $2.74B (+7%), Project Backlog $11.1B, FY2026 EPS Guidance $17.70-$17.90 — TipRanks, Yahoo Finance,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