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LNKS</w:t>
      </w:r>
      <w:r>
        <w:rPr>
          <w:rFonts w:ascii="Calibri" w:hAnsi="Calibri"/>
          <w:b/>
          <w:color w:val="1A2010"/>
          <w:sz w:val="40"/>
        </w:rPr>
        <w:t xml:space="preserve">  Linkers Industries Limited</w:t>
      </w:r>
    </w:p>
    <w:p>
      <w:pPr>
        <w:spacing w:after="120"/>
      </w:pPr>
      <w:r>
        <w:rPr>
          <w:rFonts w:ascii="Calibri" w:hAnsi="Calibri"/>
          <w:b/>
          <w:color w:val="6E8450"/>
          <w:sz w:val="18"/>
        </w:rPr>
        <w:t>GROWTH SLEEVE · 2026-09-02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Electrical Equipment &amp; Parts · NASDAQ · Malaysia</w:t>
      </w:r>
    </w:p>
    <w:p>
      <w:pPr>
        <w:spacing w:after="80"/>
      </w:pPr>
      <w:r>
        <w:rPr>
          <w:rFonts w:ascii="Calibri" w:hAnsi="Calibri"/>
          <w:b w:val="0"/>
          <w:color w:val="3A4A28"/>
          <w:sz w:val="20"/>
        </w:rPr>
        <w:t>Linkers Industries Limited, through its subsidiary TEM Electronics (M) Sdn. Bhd., manufactures and supplies wire and cable harnesses, connectors, and assemblies in Malaysia, Thailand, Switzerland, the United States, and internationally. The company serves brand-name and original equipment manufacturers in home appliances, industrial products, and automotive industries. Founded in 1995 and headquartered in Sungai Petani, Malaysia, Linkers went public on NASDAQ in December 2024. The stock has declined 99.7% from its IPO market cap of $53.8M to approximately $144K, and the company reported FY2025 revenue of approximately $5.3M (RM22.4M) with a net loss of $1.2M.</w:t>
      </w:r>
    </w:p>
    <w:p>
      <w:r>
        <w:rPr>
          <w:rFonts w:ascii="Calibri" w:hAnsi="Calibri"/>
          <w:b/>
          <w:color w:val="6E8450"/>
          <w:sz w:val="18"/>
        </w:rPr>
        <w:t>190 Employees · https://www.linkersindustries.com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No meaningful product launches, market pivots, or business model transformations. Linkers is a small contract manufacturer of commodity wire harnesses and connectors — the same fundamental business it has operated since 1995 [1]. The March 2026 MOU to acquire a 29% stake in LPW Electronics Co., Ltd. is an early-stage expansion move, not a completed innovation [2]. AI Deployment (0/2): No AI deployment or strategy evident. The company's 190-person manufacturing operation shows no indication of AI adoption in products, processes, or customer offerings. Market Share (0/2): Commodity participant with no market share differentiation. Revenue of $5.3M in a global wire harness market worth tens of billions represents negligible share [1]. Product Pipeline (0/2): No next-generation products or R&amp;D pipeline disclosed. R&amp;D Intensity (0/1): No R&amp;D spending reported or referenced in public filings.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No mission, purpose, or vision statement found on the company's public materials or filings. Linkers Industries presents itself purely as a contract manufacturer without articulating why it exists beyond fulfilling manufacturing orders [1]. Community Impact (0/2): No evidence of charitable programs, community investment, or social impact initiatives. Employee Retention (0/2): No employee retention or tenure data available. The company employs 190 people but no cultural or retention indicators are publicly disclosed [2]. Insider Buying (0/2): No evidence of insider buying. The stock's 99.7% decline from IPO suggests significant loss of confidence among early shareholders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12,000 shares at $0.81 per share yields daily dollar volume of approximately $9,700, far below the $1,000,000 minimum threshold [1]. Infrastructure score is automatically set to 0 regardless of underlying metrics. The underlying financials are poor: negative ROE of -17.8%, negative profit margin of -22%, and the stock has collapsed 99.7% from its IPO price. The 52-week range of $0.76 to $420.00 suggests extreme speculative trading. The company regained Nasdaq minimum bid price compliance in February 2026 but has since fallen back below $1.00 [2]. Market capitalization of approximately $144K makes this essentially uninvestable.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Linkers Industries exhibits a finite-game mindset — the company exists to manufacture and sell commodity components for profit with no articulated long-term purpose or vision. As a 31-year-old contract manufacturer that went public in December 2024 and immediately saw its stock collapse 99.7%, there is no evidence of infinite game thinking in leadership decisions, organizational culture, or strategic direction [1][2]. The IPO itself appears to have been a finite-game move — extracting value rather than building enduring capability.</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evident. Linkers Industries does not articulate a vision of a better future or a purpose beyond manufacturing physical components. There is no public statement of why the company does what it does beyond fulfilling customer orders [1].</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company has operated since 1995 with a workforce of 190 employees, suggesting basic organizational stability over three decades [1]. The small, family-business culture typical of Malaysian manufacturers likely provides adequate working relationships. However, the board is composed of 9 new directors with no experienced members, raising governance maturity questions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company's competitive positioning is based on cost and geographic location rather than self-improvement or learning from rivals. No management commentary references competitive dynamics as motivation for improvement [1].</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No evidence of strategic adaptation or transformation. Linkers Industries has manufactured the same basic products — wire harnesses, connectors, assemblies — since 1995. The March 2026 MOU to acquire a 29% stake in LPW Electronics represents a modest geographic expansion, not an existential pivot [2].</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decisions. The December 2024 IPO at a $53.8M valuation that subsequently collapsed to $144K market cap suggests aggressive pricing rather than principled leadership [1]. CEO Ernest Kan, appointed December 2024, has not demonstrated a track record of sacrificing short-term results for long-term capability building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Linkers Industries has no credible investment thesis at its current state. The company manufactures commodity wire harnesses and connectors — a legitimate physical-world business — but operates at a scale ($5.3M revenue, $144K market cap) that makes it essentially uninvestable for any institutional or serious retail portfolio [1]. Revenue grew 12.1% YoY in FY2025, but the company remains unprofitable with -22% profit margins and -17.8% ROE. The one potential value driver is the MOU to acquire 29% of LPW Electronics, which could expand geographic reach [2].</w:t>
      </w:r>
    </w:p>
    <w:p>
      <w:pPr>
        <w:spacing w:after="120"/>
      </w:pPr>
      <w:r>
        <w:rPr>
          <w:rFonts w:ascii="Calibri" w:hAnsi="Calibri"/>
          <w:b w:val="0"/>
          <w:color w:val="3A4A28"/>
          <w:sz w:val="20"/>
        </w:rPr>
        <w:t>The bear case is overwhelming. The stock has declined 99.7% from its December 2024 IPO market cap of $53.8M to approximately $144K — catastrophic destruction of shareholder value [1]. The 52-week price range of $0.76 to $420.00 suggests extreme speculative volatility rather than fundamental trading. The company temporarily regained Nasdaq minimum bid price compliance in February 2026 after falling below $1.00, then fell back below $1.00 again [2]. Daily trading volume of approximately 12,000 shares at $0.81 creates severe liquidity risk — exiting any meaningful position would be nearly impossible. The board is composed of 9 new directors with no experienced members, raising fundamental governance concerns. At $5.3M in revenue and 190 employees, this company would be better suited as a private enterprise than a publicly traded stock.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Completion of the MOU to acquire a 29% stake in LPW Electronics Co., Ltd. could open new customer relationships and geographic markets, though deal terms and strategic rationale have not been detailed [2]</w:t>
      </w:r>
    </w:p>
    <w:p>
      <w:pPr>
        <w:spacing w:before="40" w:after="40"/>
        <w:ind w:left="283"/>
      </w:pPr>
      <w:r>
        <w:rPr>
          <w:rFonts w:ascii="Calibri" w:hAnsi="Calibri"/>
          <w:b/>
          <w:color w:val="4A6B25"/>
          <w:sz w:val="20"/>
        </w:rPr>
        <w:t xml:space="preserve">2. </w:t>
      </w:r>
      <w:r>
        <w:rPr>
          <w:rFonts w:ascii="Calibri" w:hAnsi="Calibri"/>
          <w:b w:val="0"/>
          <w:color w:val="3A4A28"/>
          <w:sz w:val="20"/>
        </w:rPr>
        <w:t>Potential recovery in home appliance and automotive demand in Southeast Asian markets could drive revenue growth from the current $5.3M base, given 12.1% revenue growth in FY2025 [1]</w:t>
      </w:r>
    </w:p>
    <w:p>
      <w:pPr>
        <w:spacing w:before="40" w:after="40"/>
        <w:ind w:left="283"/>
      </w:pPr>
      <w:r>
        <w:rPr>
          <w:rFonts w:ascii="Calibri" w:hAnsi="Calibri"/>
          <w:b/>
          <w:color w:val="4A6B25"/>
          <w:sz w:val="20"/>
        </w:rPr>
        <w:t xml:space="preserve">3. </w:t>
      </w:r>
      <w:r>
        <w:rPr>
          <w:rFonts w:ascii="Calibri" w:hAnsi="Calibri"/>
          <w:b w:val="0"/>
          <w:color w:val="3A4A28"/>
          <w:sz w:val="20"/>
        </w:rPr>
        <w:t>Regaining and maintaining Nasdaq listing compliance above $1.00 minimum bid price could prevent delisting, though market cap needs dramatic improvement to attract institutional interest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Nasdaq delisting risk is imminent — stock trades at $0.81, below the $1.00 minimum bid requirement, and has already required one compliance period; a second violation could result in involuntary delisting [2]</w:t>
      </w:r>
    </w:p>
    <w:p>
      <w:pPr>
        <w:spacing w:before="40" w:after="40"/>
        <w:ind w:left="283"/>
      </w:pPr>
      <w:r>
        <w:rPr>
          <w:rFonts w:ascii="Calibri" w:hAnsi="Calibri"/>
          <w:b/>
          <w:color w:val="4A6B25"/>
          <w:sz w:val="20"/>
        </w:rPr>
        <w:t xml:space="preserve">2. </w:t>
      </w:r>
      <w:r>
        <w:rPr>
          <w:rFonts w:ascii="Calibri" w:hAnsi="Calibri"/>
          <w:b w:val="0"/>
          <w:color w:val="3A4A28"/>
          <w:sz w:val="20"/>
        </w:rPr>
        <w:t>Severe illiquidity with approximately 12,000 shares average daily volume and $144K market cap makes position entry and exit nearly impossible and exposes shareholders to bid-ask spread manipulation [1]</w:t>
      </w:r>
    </w:p>
    <w:p>
      <w:pPr>
        <w:spacing w:before="40" w:after="40"/>
        <w:ind w:left="283"/>
      </w:pPr>
      <w:r>
        <w:rPr>
          <w:rFonts w:ascii="Calibri" w:hAnsi="Calibri"/>
          <w:b/>
          <w:color w:val="4A6B25"/>
          <w:sz w:val="20"/>
        </w:rPr>
        <w:t xml:space="preserve">3. </w:t>
      </w:r>
      <w:r>
        <w:rPr>
          <w:rFonts w:ascii="Calibri" w:hAnsi="Calibri"/>
          <w:b w:val="0"/>
          <w:color w:val="3A4A28"/>
          <w:sz w:val="20"/>
        </w:rPr>
        <w:t>Continued operating losses (-22% profit margin, -$1.2M net loss on $5.3M revenue) with no clear path to profitability in commodity manufacturing against larger, better-capitalized Asian competitors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Linkers' core business — manufacturing physical wire harnesses, connectors, and cable assemblies — is fundamentally protected from AI disruption [1]. Wire harness production requires manual routing, crimping, and assembly of physical components that software cannot replace. The automotive and home appliance customers Linkers serves require physical interconnect solutions regardless of AI adoption. However, manufacturing automation and AI-driven robotics could eventually improve harness assembly efficiency, potentially eroding the labor-cost advantage of Southeast Asian contract manufacturers over time. The company scores PROTECTED rather than IMMUNE because AI-enhanced robotic assembly is an emerging competitive pressure in the harness manufacturing industry. AI Opportunity (0/1): No AI-related revenue. The company has no digital products, no AI-enhanced services, and no technology platform generating AI-driven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StockAnalysis, WallStreetZen, Yahoo Finance — LNKS Key Statistics: Stock Price $0.81, Revenue $5.3M, Profit Margin -22%, ROE -17.8%, Market Cap $144K,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Linkers Industries SEC Filings and Press Releases — IPO December 2024, Nasdaq Compliance February 2026, LPW Electronics MOU March 2026, CEO Ernest Kan appointment December 2024</w:t>
      </w:r>
    </w:p>
    <w:p>
      <w:pPr>
        <w:spacing w:before="20" w:after="20"/>
        <w:ind w:left="170"/>
      </w:pPr>
      <w:r>
        <w:rPr>
          <w:rFonts w:ascii="Calibri" w:hAnsi="Calibri"/>
          <w:b/>
          <w:color w:val="4A6B25"/>
          <w:sz w:val="15"/>
        </w:rPr>
        <w:t xml:space="preserve">3. </w:t>
      </w:r>
      <w:r>
        <w:rPr>
          <w:rFonts w:ascii="Calibri" w:hAnsi="Calibri"/>
          <w:b w:val="0"/>
          <w:color w:val="3A4A28"/>
          <w:sz w:val="17"/>
        </w:rPr>
        <w:t>Simply Wall St — LNKS Management Analysis: Board Composition, Leadership Structure,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