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LOVE</w:t>
      </w:r>
      <w:r>
        <w:rPr>
          <w:rFonts w:ascii="Calibri" w:hAnsi="Calibri"/>
          <w:b/>
          <w:color w:val="1A2010"/>
          <w:sz w:val="40"/>
        </w:rPr>
        <w:t xml:space="preserve">  The Lovesac Company</w:t>
      </w:r>
    </w:p>
    <w:p>
      <w:pPr>
        <w:spacing w:after="120"/>
      </w:pPr>
      <w:r>
        <w:rPr>
          <w:rFonts w:ascii="Calibri" w:hAnsi="Calibri"/>
          <w:b/>
          <w:color w:val="6E8450"/>
          <w:sz w:val="18"/>
        </w:rPr>
        <w:t>GROWTH SLEEVE · 2026-10-14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Furnishings, Fixtures &amp; Appliances · NASDAQ · United States</w:t>
      </w:r>
    </w:p>
    <w:p>
      <w:pPr>
        <w:spacing w:after="80"/>
      </w:pPr>
      <w:r>
        <w:rPr>
          <w:rFonts w:ascii="Calibri" w:hAnsi="Calibri"/>
          <w:b w:val="0"/>
          <w:color w:val="3A4A28"/>
          <w:sz w:val="20"/>
        </w:rPr>
        <w:t>The Lovesac Company designs, manufactures, and sells modular furniture through its patented Sactionals platform (modular seats and sides), Sacs (premium foam beanbag chairs), and StealthTech integrated home theater audio systems. The company sells direct-to-consumer via 250+ showrooms across 45 states and online. Founded in 1995 by Shawn Nelson, headquartered in Stamford, Connecticut. FY2026 (ended Feb 2026) revenue was $697.1M (+2.4% YoY) with net income of $4.1M and gross margin of 56.4%. Q1 FY2027 net sales were approximately $138.2M (roughly flat YoY). FY2027 guidance targets $700M-$750M revenue and $33M-$44M adjusted EBITDA. Market cap approximately $210M.</w:t>
      </w:r>
    </w:p>
    <w:p>
      <w:r>
        <w:rPr>
          <w:rFonts w:ascii="Calibri" w:hAnsi="Calibri"/>
          <w:b/>
          <w:color w:val="6E8450"/>
          <w:sz w:val="18"/>
        </w:rPr>
        <w:t>917 Employees · https://www.lovesac.com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Lovesac has meaningfully extended its product platform over the past five years — launching StealthTech integrated home theater audio in partnership with Harman Kardon, introducing Angled Sides for expanded modular configurations, and building out a 250+ showroom DTC footprint that grew by 21 net new locations in FY2026 [1]. Management describes FY2027 as the company's 'biggest year of product launches' with new product categories expected beyond core Sactionals and Sacs [3]. These represent significant extensions of the modular furniture ecosystem, though not a business model transformation. AI Deployment (0/2): Lovesac appointed Jacob Pat as Chief Technology and Digital Transformation Officer in late 2025 and added tech veteran Alan Boehme to the board, signaling digital ambitions [5], but no AI-powered products or quantified AI-driven cost savings have been reported. Market Share (1/2): Lovesac holds a distinctive niche in premium modular furniture with a patented product platform, but omni-channel comparable sales grew only 0.5% in FY2026, and the company remains a small player (~0.5% share) in the $130B+ U.S. furniture market [1]. Product Pipeline (1/2): Management guided to a significant product launch calendar for FY2027 and mentioned new categories, but specific product names, launch dates, and revenue visibility have not been disclosed beyond the current fiscal year [3]. R&amp;D Intensity (0/1): No formal R&amp;D spending; Lovesac operates as a design-and-marketing consumer brand rather than a technology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Lovesac's 'Designed for Life' purpose — 'inspire humankind to buy less and buy better' — is specific, thoughtful, and genuinely differentiating in the furniture industry [6]. The philosophy connects product design to sustainability (anti-landfill, anti-fast-furniture) and has clearly shaped strategic decisions including the use of REPREVE recycled fabrics (322M+ plastic bottles repurposed) and the modular design philosophy that makes products upgradeable rather than disposable [7]. This reflects genuine intentionality but hasn't yet been validated through decades of consistent execution across major crises. Community Impact (1/2): Lovesac donated $286,000 in products to community initiatives, logged 550 volunteer hours, achieved 100% landfill diversion at its U.S. Sac factory with net-zero emissions, and set targets for zero waste and zero emissions by 2040 [7]. Genuine but modest in absolute dollar terms relative to $697M revenue. Employee Retention (0/2): No publicly available data on voluntary turnover rates or average employee tenure. Glassdoor reviews cite high turnover and cultural concerns, but specific retention metrics are not disclosed [2]. Insider Buying (1/2): CEO Shawn Nelson purchased 1,477 shares at $16.95 ($25,020) in April 2026 and 1,000 shares at $14.41 ($14,410) in October 2025 — net open-market buying demonstrating personal conviction, though dollar amounts are modest relative to the company's scale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with six available metrics (PEG excluded). The strongest contributors are the five-year revenue CAGR of approximately 13.5% exceeding the 10% target (score 1.0, 2x weight), Forward P/E of 6.4 well below the 20 target (score 1.0), and D/E of 91% which is manageable — the company ended FY2026 effectively debt-free with $101.9M in cash [1][3]. ROE improved to 8.8% from 1.87% in the prior assessment but remains below the 15% target (score 0.59, 2x weight). Revenue growth of 0.4% YoY is tepid (score 0.68), reflecting challenging discretionary spending conditions with Q1 FY2027 roughly flat [1]. Profit margin of 2.6% (score 0.13) remains thin as tariff headwinds persist. Weighted sum of 5.89 on 8 available weight units yields infrastructure score of 7. Daily dollar volume of $3.5M clears the $1M liquidity floor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Lovesac under founder Shawn Nelson demonstrates genuine infinite-game intent through its 'Designed for Life' philosophy, which connects product design to a larger purpose of sustainability and anti-consumption. The company has shown flexibility in evolving from beanbag chairs to a modular furniture platform with integrated technology. However, significant evidence of cultural dysfunction — high turnover, toxic management practices below the CEO level, and employee complaints about pay and benefits — undermine the trust foundation Sinek considers essential. The cause is promising but the organizational execution of that cause is fractured between a visionary founder and a management layer described by employees as the 'antithesis of the CEO's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Lovesac's 'Designed for Life' purpose — inspiring people to buy less and buy better by creating products that last a lifetime and evolve with customers — is a genuine cause that connects furniture design to environmental sustainability [6]. It meets Sinek's criteria: resilient (transcends any single product), inclusive (invites customers to participate in sustainability), service-oriented (benefits the environment and consumers), and idealistic (a future where furniture never ends up in landfills). Founder Shawn Nelson has articulated this vision consistently and it shapes product decisions — modular designs, recyclable materials, 322M+ plastic bottles repurposed [7]. However, the DFL framework is relatively recent compared to the company's 1995 founding, and it hasn't been validated through leadership transitions or major crises.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cultural dysfunction at Lovesac despite the founder's vision. Employees describe 'constant incompetency from management and leadership,' 'favoritism, bias, and micromanaging,' and a 'toxic/fake positivity' culture [2]. Multiple reviews cite high turnover as a persistent issue. One telling review notes: 'The CEO is a really positive and brilliant leader, but the upper management team he's entrusted in running the day to day operations of the brand is the antithesis of the CEO's vision.' The 'sweep the floors' mentality the CEO promotes is described as 'insulting considering virtually non-existent benefits and terrible pay.' This disconnect between founder vision and organizational reality is precisely the kind of low-trust environment Sinek warns about — employees protect themselves rather than advancing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Lovesac's management acknowledging competitors' strengths as motivation for self-improvement. Earnings call commentary focuses on the company's differentiated positioning in modular furniture rather than learning from rivals like Restoration Hardware, Pottery Barn, or IKEA. The competitive narrative centers on Lovesac's unique patented product platform rather than competitive dynamics — healthy for brand positioning but not demonstrating the worthy-rivals mindset Sinek values.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Lovesac has meaningfully evolved its business model — pivoting from a single-product beanbag chair company (Sacs) to a modular furniture platform (Sactionals now represent the vast majority of revenue) and adding integrated technology with StealthTech home audio [1][6]. The company also shifted from wholesale/mall kiosks to a direct-to-consumer showroom model with 250+ locations. These represent genuine strategic evolution in service of the DFL purpose, though the pivots were incremental and market-driven rather than the kind of transformative bet-the-company move Sinek highlights.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Nelson has demonstrated conviction by investing in sustainability initiatives (100% landfill diversion, REPREVE partnership, zero emissions targets by 2040) and maintaining the DFL philosophy through periods of weak demand — FY2026 delivered only $4.1M net income on $697M revenue yet the company continued investing in showroom expansion and product development rather than cutting to short-term profitability [1][3]. The company absorbed &gt;$22M in tariff costs while maintaining gross margins above 56% through supply chain adaptation rather than passing all costs to consumers. However, no dramatic example of sacrificing major near-term profitability for transformative long-term capability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Lovesac at $14.58 with a $210M market cap offers a compelling deep-value setup at 6.4x forward earnings for a founder-led, effectively debt-free consumer brand with a differentiated modular furniture platform and 13.5% five-year revenue CAGR [1][3]. The stock has declined 19% since August 2026, creating a more attractive entry point while fundamentals are improving — ROE recovered to 8.8% from 1.9%, profit margin improved to 2.6%, and the company ended FY2026 with $101.9M in cash and no debt [1]. FY2027 guidance of $700M-$750M revenue and $33M-$44M adjusted EBITDA implies meaningful margin recovery, and management describes FY2027 as the 'biggest year of product launches' in company history [3]. The 'Designed for Life' sustainability positioning — 322M+ plastic bottles repurposed, zero waste targets by 2040 — earns an Inspire Impact Score of 55 (ALIGNED) with 13 positive attributions and zero negative [7].</w:t>
      </w:r>
    </w:p>
    <w:p>
      <w:pPr>
        <w:spacing w:after="120"/>
      </w:pPr>
      <w:r>
        <w:rPr>
          <w:rFonts w:ascii="Calibri" w:hAnsi="Calibri"/>
          <w:b w:val="0"/>
          <w:color w:val="3A4A28"/>
          <w:sz w:val="20"/>
        </w:rPr>
        <w:t>The bear case centers on persistently thin profitability and demand uncertainty. FY2026 net income of just $4.1M (0.6% margin) on $697M revenue raises structural questions about scale economics, and Q1 FY2027 revenue was roughly flat at $138.2M, posting a quarterly loss [1]. Gross margins declined 210 basis points to 56.4% in FY2026, pressured by &gt;$22M in tariff impacts that may persist or intensify, and FY2027 adjusted EBITDA guidance range of $33M-$44M remains wide, underscoring execution uncertainty [3]. Comparable sales grew only 0.5% in FY2026, reflecting demand softness in a highly cyclical, discretionary category where $2,000-$10,000+ Sactionals purchases are easily deferred. The stark disconnect between founder Shawn Nelson's vision and organizational culture — Glassdoor reviews consistently cite high turnover and management issues — suggests the 'Designed for Life' philosophy may be aspirational rather than lived organizational reality [2]. With a $210M market cap, the stock carries significant small-cap volatility and liquidity risk (daily dollar volume ~$3.5M)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product launch cycle described as the 'biggest year of product launches' in company history, potentially opening new revenue categories beyond Sactionals and Sacs and accelerating the top line toward the $750M high end of guidance [3]</w:t>
      </w:r>
    </w:p>
    <w:p>
      <w:pPr>
        <w:spacing w:before="40" w:after="40"/>
        <w:ind w:left="283"/>
      </w:pPr>
      <w:r>
        <w:rPr>
          <w:rFonts w:ascii="Calibri" w:hAnsi="Calibri"/>
          <w:b/>
          <w:color w:val="4A6B25"/>
          <w:sz w:val="20"/>
        </w:rPr>
        <w:t xml:space="preserve">2. </w:t>
      </w:r>
      <w:r>
        <w:rPr>
          <w:rFonts w:ascii="Calibri" w:hAnsi="Calibri"/>
          <w:b w:val="0"/>
          <w:color w:val="3A4A28"/>
          <w:sz w:val="20"/>
        </w:rPr>
        <w:t>Gross margin recovery as tariff mitigation strategies (supply chain diversification to non-China sources, selective pricing) take effect against the 210bps FY2026 decline, with even 100bps recovery adding ~$7M to net income [1]</w:t>
      </w:r>
    </w:p>
    <w:p>
      <w:pPr>
        <w:spacing w:before="40" w:after="40"/>
        <w:ind w:left="283"/>
      </w:pPr>
      <w:r>
        <w:rPr>
          <w:rFonts w:ascii="Calibri" w:hAnsi="Calibri"/>
          <w:b/>
          <w:color w:val="4A6B25"/>
          <w:sz w:val="20"/>
        </w:rPr>
        <w:t xml:space="preserve">3. </w:t>
      </w:r>
      <w:r>
        <w:rPr>
          <w:rFonts w:ascii="Calibri" w:hAnsi="Calibri"/>
          <w:b w:val="0"/>
          <w:color w:val="3A4A28"/>
          <w:sz w:val="20"/>
        </w:rPr>
        <w:t>Inspire Impact Score of 55 (ALIGNED) with 13 positive and zero negative attributions positions Lovesac as a rare consumer discretionary holding for faith-based portfolios seeking both sustainability alignment and growth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tariff and freight cost inflation could further compress gross margins below 56%, eroding the already razor-thin 0.6% net margin and pushing the company toward break-even or loss territory in FY2027 [1]</w:t>
      </w:r>
    </w:p>
    <w:p>
      <w:pPr>
        <w:spacing w:before="40" w:after="40"/>
        <w:ind w:left="283"/>
      </w:pPr>
      <w:r>
        <w:rPr>
          <w:rFonts w:ascii="Calibri" w:hAnsi="Calibri"/>
          <w:b/>
          <w:color w:val="4A6B25"/>
          <w:sz w:val="20"/>
        </w:rPr>
        <w:t xml:space="preserve">2. </w:t>
      </w:r>
      <w:r>
        <w:rPr>
          <w:rFonts w:ascii="Calibri" w:hAnsi="Calibri"/>
          <w:b w:val="0"/>
          <w:color w:val="3A4A28"/>
          <w:sz w:val="20"/>
        </w:rPr>
        <w:t>Consumer spending weakness in discretionary home furnishings — Sactionals are high-ticket purchases easily deferred in a recession, and 0.5% comparable sales growth in FY2026 already signals demand softness [1]</w:t>
      </w:r>
    </w:p>
    <w:p>
      <w:pPr>
        <w:spacing w:before="40" w:after="40"/>
        <w:ind w:left="283"/>
      </w:pPr>
      <w:r>
        <w:rPr>
          <w:rFonts w:ascii="Calibri" w:hAnsi="Calibri"/>
          <w:b/>
          <w:color w:val="4A6B25"/>
          <w:sz w:val="20"/>
        </w:rPr>
        <w:t xml:space="preserve">3. </w:t>
      </w:r>
      <w:r>
        <w:rPr>
          <w:rFonts w:ascii="Calibri" w:hAnsi="Calibri"/>
          <w:b w:val="0"/>
          <w:color w:val="3A4A28"/>
          <w:sz w:val="20"/>
        </w:rPr>
        <w:t>Cultural dysfunction gap between founder vision and management execution — Glassdoor evidence of high turnover, toxic management practices, and poor employee compensation suggests organizational fragility that could impair execution of the FY2027 growth agenda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Lovesac's core business — designing, manufacturing, and selling physical modular furniture through 250+ showrooms and direct-to-consumer channels — is structurally protected from AI displacement [1]. Couches cannot be digitally delivered; the tactile showroom experience, physical product delivery, and installation of StealthTech audio systems require human interaction. Supply chain management, warehousing, and last-mile delivery for bulky furniture are physical-world operations AI cannot substitute. However, Lovesac's online sales channel could face competitive pressure as AI-powered shopping assistants and interior design tools from larger retailers (Wayfair, Restoration Hardware, IKEA) enhance digital experiences. The company's marketing spend (~12% of sales) could see AI-driven competitive disruption as larger competitors optimize customer acquisition costs with AI. AI Opportunity (0/1): No AI-powered products are shipping, no AI-related revenue reported, and no quantified internal AI cost savings disclosed. The CTDO appointment and tech-focused board addition signal intent but not yet results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Lovesac Company Q4 and Full Year Fiscal 2026 Financial Results — Revenue $697.1M (+2.4%), Net Income $4.1M, Gross Margin 56.4%, Tariff Impact &gt;$22M, investor.lovesac.com, April 2026</w:t>
      </w:r>
    </w:p>
    <w:p>
      <w:pPr>
        <w:spacing w:before="20" w:after="20"/>
        <w:ind w:left="170"/>
      </w:pPr>
      <w:r>
        <w:rPr>
          <w:rFonts w:ascii="Calibri" w:hAnsi="Calibri"/>
          <w:b/>
          <w:color w:val="4A6B25"/>
          <w:sz w:val="15"/>
        </w:rPr>
        <w:t xml:space="preserve">2. </w:t>
      </w:r>
      <w:r>
        <w:rPr>
          <w:rFonts w:ascii="Calibri" w:hAnsi="Calibri"/>
          <w:b w:val="0"/>
          <w:color w:val="3A4A28"/>
          <w:sz w:val="17"/>
        </w:rPr>
        <w:t>Glassdoor Employee Reviews — Lovesac Culture, Management, High Turnover, CEO Disconnect, Multiple Reviews 2024-2026</w:t>
      </w:r>
    </w:p>
    <w:p>
      <w:pPr>
        <w:spacing w:before="20" w:after="20"/>
        <w:ind w:left="170"/>
      </w:pPr>
      <w:r>
        <w:rPr>
          <w:rFonts w:ascii="Calibri" w:hAnsi="Calibri"/>
          <w:b/>
          <w:color w:val="4A6B25"/>
          <w:sz w:val="15"/>
        </w:rPr>
        <w:t xml:space="preserve">3. </w:t>
      </w:r>
      <w:r>
        <w:rPr>
          <w:rFonts w:ascii="Calibri" w:hAnsi="Calibri"/>
          <w:b w:val="0"/>
          <w:color w:val="3A4A28"/>
          <w:sz w:val="17"/>
        </w:rPr>
        <w:t>The Lovesac Company FY2027 Guidance — Revenue $700M-$750M, Net Income $5M-$14M, Adj. EBITDA $33M-$44M, investor.lovesac.com, June 2026</w:t>
      </w:r>
    </w:p>
    <w:p>
      <w:pPr>
        <w:spacing w:before="20" w:after="20"/>
        <w:ind w:left="170"/>
      </w:pPr>
      <w:r>
        <w:rPr>
          <w:rFonts w:ascii="Calibri" w:hAnsi="Calibri"/>
          <w:b/>
          <w:color w:val="4A6B25"/>
          <w:sz w:val="15"/>
        </w:rPr>
        <w:t xml:space="preserve">4. </w:t>
      </w:r>
      <w:r>
        <w:rPr>
          <w:rFonts w:ascii="Calibri" w:hAnsi="Calibri"/>
          <w:b w:val="0"/>
          <w:color w:val="3A4A28"/>
          <w:sz w:val="17"/>
        </w:rPr>
        <w:t>Lovesac CEO Insider Trading Activity — Shawn Nelson Purchases: $25,020 (April 2026), $14,410 (October 2025), SEC Form 4 Filings</w:t>
      </w:r>
    </w:p>
    <w:p>
      <w:pPr>
        <w:spacing w:before="20" w:after="20"/>
        <w:ind w:left="170"/>
      </w:pPr>
      <w:r>
        <w:rPr>
          <w:rFonts w:ascii="Calibri" w:hAnsi="Calibri"/>
          <w:b/>
          <w:color w:val="4A6B25"/>
          <w:sz w:val="15"/>
        </w:rPr>
        <w:t xml:space="preserve">5. </w:t>
      </w:r>
      <w:r>
        <w:rPr>
          <w:rFonts w:ascii="Calibri" w:hAnsi="Calibri"/>
          <w:b w:val="0"/>
          <w:color w:val="3A4A28"/>
          <w:sz w:val="17"/>
        </w:rPr>
        <w:t>The Lovesac Company Appoints Jacob Pat as CTDO and Alan Boehme to Board — investor.lovesac.com, 2025</w:t>
      </w:r>
    </w:p>
    <w:p>
      <w:pPr>
        <w:spacing w:before="20" w:after="20"/>
        <w:ind w:left="170"/>
      </w:pPr>
      <w:r>
        <w:rPr>
          <w:rFonts w:ascii="Calibri" w:hAnsi="Calibri"/>
          <w:b/>
          <w:color w:val="4A6B25"/>
          <w:sz w:val="15"/>
        </w:rPr>
        <w:t xml:space="preserve">6. </w:t>
      </w:r>
      <w:r>
        <w:rPr>
          <w:rFonts w:ascii="Calibri" w:hAnsi="Calibri"/>
          <w:b w:val="0"/>
          <w:color w:val="3A4A28"/>
          <w:sz w:val="17"/>
        </w:rPr>
        <w:t>Lovesac 'Designed for Life' Philosophy — 'Inspire Humankind to Buy Less and Buy Better,' Founded 1995 by Shawn Nelson</w:t>
      </w:r>
    </w:p>
    <w:p>
      <w:pPr>
        <w:spacing w:before="20" w:after="20"/>
        <w:ind w:left="170"/>
      </w:pPr>
      <w:r>
        <w:rPr>
          <w:rFonts w:ascii="Calibri" w:hAnsi="Calibri"/>
          <w:b/>
          <w:color w:val="4A6B25"/>
          <w:sz w:val="15"/>
        </w:rPr>
        <w:t xml:space="preserve">7. </w:t>
      </w:r>
      <w:r>
        <w:rPr>
          <w:rFonts w:ascii="Calibri" w:hAnsi="Calibri"/>
          <w:b w:val="0"/>
          <w:color w:val="3A4A28"/>
          <w:sz w:val="17"/>
        </w:rPr>
        <w:t>The Lovesac Company FY2025 ESG and Impact Report — 322M+ Plastic Bottles Repurposed, 100% Landfill Diversion, Zero Waste/Emissions Target 2040, investor.lovesac.com, December 2025</w:t>
      </w:r>
    </w:p>
    <w:p>
      <w:pPr>
        <w:spacing w:before="20" w:after="20"/>
        <w:ind w:left="170"/>
      </w:pPr>
      <w:r>
        <w:rPr>
          <w:rFonts w:ascii="Calibri" w:hAnsi="Calibri"/>
          <w:b/>
          <w:color w:val="4A6B25"/>
          <w:sz w:val="15"/>
        </w:rPr>
        <w:t xml:space="preserve">8. </w:t>
      </w:r>
      <w:r>
        <w:rPr>
          <w:rFonts w:ascii="Calibri" w:hAnsi="Calibri"/>
          <w:b w:val="0"/>
          <w:color w:val="3A4A28"/>
          <w:sz w:val="17"/>
        </w:rPr>
        <w:t>Yahoo Finance — LOVE Key Statistics: Stock Price $14.58, Forward P/E 6.37, D/E 91%, ROE 8.78%, Profit Margin 2.56%, Avg Volume 241K,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