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LRN</w:t>
      </w:r>
      <w:r>
        <w:rPr>
          <w:rFonts w:ascii="Calibri" w:hAnsi="Calibri"/>
          <w:b/>
          <w:color w:val="1A2010"/>
          <w:sz w:val="40"/>
        </w:rPr>
        <w:t xml:space="preserve">  Stride, Inc.</w:t>
      </w:r>
    </w:p>
    <w:p>
      <w:pPr>
        <w:spacing w:after="120"/>
      </w:pPr>
      <w:r>
        <w:rPr>
          <w:rFonts w:ascii="Calibri" w:hAnsi="Calibri"/>
          <w:b/>
          <w:color w:val="6E8450"/>
          <w:sz w:val="18"/>
        </w:rPr>
        <w:t>GROWTH SLEEVE · 2026-09-26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Education &amp; Training Services · NYSE · United States</w:t>
      </w:r>
    </w:p>
    <w:p>
      <w:pPr>
        <w:spacing w:after="80"/>
      </w:pPr>
      <w:r>
        <w:rPr>
          <w:rFonts w:ascii="Calibri" w:hAnsi="Calibri"/>
          <w:b w:val="0"/>
          <w:color w:val="3A4A28"/>
          <w:sz w:val="20"/>
        </w:rPr>
        <w:t>Stride, Inc. (formerly K12 Inc.) is the largest provider of virtual K-12 education in the United States, serving students across 31 states through proprietary online curriculum, software systems, and educational services, alongside Career Learning programs under the Galvanize, Tech Elevator, and MedCerts brands. FY2026 (ended June 2026) revenue reached $2.52B (+4.7% YoY) with net income of $338.2M, but the stock fell over 51% intraday on October 29, 2025 after weak forward guidance citing platform-upgrade-driven customer experience problems and enrollment declines. Robert E. Knowling was appointed CEO on July 29, 2026 following James Rhyu's departure, and the company faces an active securities fraud class action alleging inflated 'ghost student' enrollment counts and compliance failures.</w:t>
      </w:r>
    </w:p>
    <w:p>
      <w:r>
        <w:rPr>
          <w:rFonts w:ascii="Calibri" w:hAnsi="Calibri"/>
          <w:b/>
          <w:color w:val="6E8450"/>
          <w:sz w:val="18"/>
        </w:rPr>
        <w:t>8,600 Employees · https://stridelearning.com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Stride pivoted from a pure K-12 virtual school operator into a diversified education platform, with Career Learning enrollments up 13.9% and revenue up 15.0% in FY2026, offsetting a 2.1% decline in General Education revenue [1]. However, the October 2025 platform upgrade that produced a 'poor customer experience' and drove enrollment declines — triggering a 51% single-day stock collapse — reveals execution risk in the core technology transformation [2]. AI Deployment (1/2): Legend Library uses Stability AI's Stable Diffusion on Amazon Bedrock for student creative learning, but no additional AI product launches or quantified efficiency gains were identified this cycle [3]. Market Share (1/2): Stride remains the largest U.S. virtual K-12 provider but faces growing competition from state-run virtual programs and AI tutoring platforms, and the platform-upgrade stumble ceded some competitive ground [1]. Product Pipeline (1/2): FY2028 targets of $3.3-3.5B revenue and $700-800M adjusted operating income (10% revenue CAGR) provide multi-year visibility, tempered by early FY2027 signs of slightly softer application volumes [1]. R&amp;D Intensity (1/1): Stride continues to invest above industry average in its LMS platform, AI tools, and curriculum systems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Stride's mission to 'help learners of all ages reach their full potential through inspired teaching and personalized learning' remains specific and thoughtful on paper [4], but a securities fraud class action filed in late 2025 alleges the company inflated enrollment via 'ghost students,' assigned teacher caseloads beyond statutory limits, ignored special-education mandates, and suppressed whistleblowers who documented directives to delay hiring and deny services to preserve margins [5]. These allegations, if substantiated, mean the mission has not shaped operational behavior at a material level. Community Impact (1/2): Stride still serves underserved populations via free virtual public education and publishes an ESG report aligned with UN SDGs, but the ghost-student and compliance allegations directly undercut this narrative [4][5]. Employee Retention (0/2): The July 2026 CEO transition compounds a pattern of prior 'multiple layoffs and leadership changes,' and the whistleblower-suppression allegations point to a fear-based rather than mission-aligned internal culture [2][5]. Insider Buying (0/2): No evidence of meaningful net insider buying by executives or the new CEO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across all growth-stock metrics [6]. D/E of 33.4% is well below the 70% target, and ROE of 21.74% exceeds the 15% target (2x weight). The 5-year revenue CAGR of ~10.3% meets the 10% target (2x weight), and Forward P/E of 8.47 is less than half the 20 target. An estimated forward PEG of ~0.6 (2x weight) signals significant undervaluation relative to growth. The only soft spots are trailing revenue growth YoY, which has decelerated to roughly -2.7% following the platform-upgrade disruption and enrollment pullback (scoring 0.58 against the 10% target), and profit margin of 13.43% (below the 20% target, scoring 0.67). Liquidity is ample at ~$68M in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Stride's infinite game standing has deteriorated materially. The securities fraud class action alleging 'ghost student' enrollment inflation, teacher caseload violations, denial of federally mandated special-education services, and suppression of whistleblowers who flagged margin-preserving directives from leadership describes a company that subordinated its stated educational cause to short-term financial metrics — the opposite of Sinek's infinite-game standard [5]. The July 2026 CEO transition to Robert Knowling offers a potential reset, but with no track record yet established, the current evidence points to a finite-game organization.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Stride's cause of democratizing education still exists on paper and has historically shaped the K12-to-Stride evolution [4], but the ghost-student and compliance allegations — including directives to delay hiring and deny special-education services to preserve margins — indicate the cause did not meaningfully constrain leadership's actual decisions during the period under scrutiny [5]. This is a cause that exists but has been shown not to shape behavior when it conflicted with growth targets.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lawsuit's central allegation — that whistleblowers who documented financial directives to delay hiring and deny services were suppressed — is a textbook low-trust, fear-based environment in Sinek's framework, compounded by a July 2026 CEO departure following the crisis [2][5]. Employees who raise concerns about mission integrity should be protected, not silenced; the alleged suppression is disqualifying evidence against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Stride's strategic response to growing competition from state virtual programs and AI tutoring tools has been to differentiate through Career Learning and accredited credentials rather than predatory enrollment tactics against rivals, reflecting a learning-oriented competitive posture independent of the current governance crisis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K12 Inc. (pure virtual K-12 operator) to Stride (K-12, Career Learning, and adult education) remains a real structural evolution, with Career Learning now contributing meaningfully to FY2026 growth [1][4]. This assessment is unaffected by the governance allegations, which concern execution ethics rather than strategic adaptability.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whistleblower-suppression and margin-preservation allegations describe leadership protecting near-term financial results at the direct expense of student services and compliance — the inverse of courageous, cause-first leadership [5]. The new CEO transition has not yet produced evidence of a course correction, and the prior LMS upgrade disruption reflected underinvestment rather than a costly long-term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Stride trades at a deeply discounted forward P/E of 8.47 and PEG of ~0.6 against FY2028 targets of $3.3-3.5B revenue and $700-800M adjusted operating income (10% revenue CAGR), with FY2026 results ($2.52B revenue, $338.2M net income) still showing the diversification into Career Learning is working (enrollments +13.9%, revenue +15.0%) [1][6]. New CEO Robert Knowling brings 30+ years of education and technology leadership, and if he can restore trust following the governance crisis, the valuation gap versus historical multiples could close meaningfully.</w:t>
      </w:r>
    </w:p>
    <w:p>
      <w:pPr>
        <w:spacing w:after="120"/>
      </w:pPr>
      <w:r>
        <w:rPr>
          <w:rFonts w:ascii="Calibri" w:hAnsi="Calibri"/>
          <w:b w:val="0"/>
          <w:color w:val="3A4A28"/>
          <w:sz w:val="20"/>
        </w:rPr>
        <w:t>The bear case is serious. A securities fraud class action alleges Stride inflated enrollment with 'ghost students,' violated teacher caseload and special-education compliance requirements, and suppressed whistleblowers who documented directives to delay hiring and deny services to preserve margins — allegations that, if substantiated, describe systemic governance failure rather than an isolated incident [5]. The October 2025 51% single-day stock collapse followed weak guidance tied to a botched platform upgrade, and trailing revenue growth has turned negative (-2.7% YoY) even as FY2026 full-year results showed modest growth [1][2]. The CEO transition adds execution uncertainty during litigation discovery, and free AI tutoring tools from Khan Academy, Google, and OpenAI could further pressure curriculum pricing power. Regulatory bodies in multiple states could tighten oversight or curtail enrollment agreements if the allegations are substantiated.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Resolution or dismissal of the securities fraud class action removing the litigation overhang that has depressed the stock well below its FY2028 target-implied valuation [5]</w:t>
      </w:r>
    </w:p>
    <w:p>
      <w:pPr>
        <w:spacing w:before="40" w:after="40"/>
        <w:ind w:left="283"/>
      </w:pPr>
      <w:r>
        <w:rPr>
          <w:rFonts w:ascii="Calibri" w:hAnsi="Calibri"/>
          <w:b/>
          <w:color w:val="4A6B25"/>
          <w:sz w:val="20"/>
        </w:rPr>
        <w:t xml:space="preserve">2. </w:t>
      </w:r>
      <w:r>
        <w:rPr>
          <w:rFonts w:ascii="Calibri" w:hAnsi="Calibri"/>
          <w:b w:val="0"/>
          <w:color w:val="3A4A28"/>
          <w:sz w:val="20"/>
        </w:rPr>
        <w:t>New CEO Robert Knowling's education and technology background (NYC Leadership Academy) could restore governance credibility and re-accelerate enrollment growth toward FY2028 targets [1][2]</w:t>
      </w:r>
    </w:p>
    <w:p>
      <w:pPr>
        <w:spacing w:before="40" w:after="40"/>
        <w:ind w:left="283"/>
      </w:pPr>
      <w:r>
        <w:rPr>
          <w:rFonts w:ascii="Calibri" w:hAnsi="Calibri"/>
          <w:b/>
          <w:color w:val="4A6B25"/>
          <w:sz w:val="20"/>
        </w:rPr>
        <w:t xml:space="preserve">3. </w:t>
      </w:r>
      <w:r>
        <w:rPr>
          <w:rFonts w:ascii="Calibri" w:hAnsi="Calibri"/>
          <w:b w:val="0"/>
          <w:color w:val="3A4A28"/>
          <w:sz w:val="20"/>
        </w:rPr>
        <w:t>Career Learning's 13.9% enrollment growth and 15.0% revenue growth continuing to diversify Stride away from General Education, which is now under the most regulatory scrutiny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class action alleging 'ghost student' enrollment inflation, special-education non-compliance, and whistleblower suppression could result in material litigation costs, regulatory sanctions, or loss of state operating agreements [5]</w:t>
      </w:r>
    </w:p>
    <w:p>
      <w:pPr>
        <w:spacing w:before="40" w:after="40"/>
        <w:ind w:left="283"/>
      </w:pPr>
      <w:r>
        <w:rPr>
          <w:rFonts w:ascii="Calibri" w:hAnsi="Calibri"/>
          <w:b/>
          <w:color w:val="4A6B25"/>
          <w:sz w:val="20"/>
        </w:rPr>
        <w:t xml:space="preserve">2. </w:t>
      </w:r>
      <w:r>
        <w:rPr>
          <w:rFonts w:ascii="Calibri" w:hAnsi="Calibri"/>
          <w:b w:val="0"/>
          <w:color w:val="3A4A28"/>
          <w:sz w:val="20"/>
        </w:rPr>
        <w:t>Trailing revenue growth has turned negative (-2.7% YoY) following the October 2025 platform-upgrade failure, raising doubt about whether the FY2028 targets requiring ~10% annual growth remain achievable [1][2]</w:t>
      </w:r>
    </w:p>
    <w:p>
      <w:pPr>
        <w:spacing w:before="40" w:after="40"/>
        <w:ind w:left="283"/>
      </w:pPr>
      <w:r>
        <w:rPr>
          <w:rFonts w:ascii="Calibri" w:hAnsi="Calibri"/>
          <w:b/>
          <w:color w:val="4A6B25"/>
          <w:sz w:val="20"/>
        </w:rPr>
        <w:t xml:space="preserve">3. </w:t>
      </w:r>
      <w:r>
        <w:rPr>
          <w:rFonts w:ascii="Calibri" w:hAnsi="Calibri"/>
          <w:b w:val="0"/>
          <w:color w:val="3A4A28"/>
          <w:sz w:val="20"/>
        </w:rPr>
        <w:t>CEO transition during active litigation discovery adds execution risk at the exact moment the company needs to rebuild regulator and investor trust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Stride's moats are regulatory rather than purely technological — state-approved virtual school operator status, accredited diploma-granting authority, and enrollment agreements across 31 states create barriers that free AI tutoring tools from Khan Academy, Google, and OpenAI cannot bypass on their own [3][4]. The compliance infrastructure, student support services, and government contracting relationships remain structurally defensible, though AI-generated lesson content could erode the pricing power of Stride's proprietary curriculum library over time. AI Opportunity (1/1): Stride generates educational value from AI through its Legend Library product on Amazon Bedrock, and the FY2028 targets imply continued AI integration into curriculum delivery and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Stride FY2026 Full-Year Results — $2.52B Revenue (+4.7%), Career Learning Enrollment +13.9%, FY2028 Targets, 2026</w:t>
      </w:r>
    </w:p>
    <w:p>
      <w:pPr>
        <w:spacing w:before="20" w:after="20"/>
        <w:ind w:left="170"/>
      </w:pPr>
      <w:r>
        <w:rPr>
          <w:rFonts w:ascii="Calibri" w:hAnsi="Calibri"/>
          <w:b/>
          <w:color w:val="4A6B25"/>
          <w:sz w:val="15"/>
        </w:rPr>
        <w:t xml:space="preserve">2. </w:t>
      </w:r>
      <w:r>
        <w:rPr>
          <w:rFonts w:ascii="Calibri" w:hAnsi="Calibri"/>
          <w:b w:val="0"/>
          <w:color w:val="3A4A28"/>
          <w:sz w:val="17"/>
        </w:rPr>
        <w:t>Stride Q1 FY2027 Guidance and October 29, 2025 Stock Decline — Platform Upgrade Customer Experience Issues, Virginia Business, 2025-2026</w:t>
      </w:r>
    </w:p>
    <w:p>
      <w:pPr>
        <w:spacing w:before="20" w:after="20"/>
        <w:ind w:left="170"/>
      </w:pPr>
      <w:r>
        <w:rPr>
          <w:rFonts w:ascii="Calibri" w:hAnsi="Calibri"/>
          <w:b/>
          <w:color w:val="4A6B25"/>
          <w:sz w:val="15"/>
        </w:rPr>
        <w:t xml:space="preserve">3. </w:t>
      </w:r>
      <w:r>
        <w:rPr>
          <w:rFonts w:ascii="Calibri" w:hAnsi="Calibri"/>
          <w:b w:val="0"/>
          <w:color w:val="3A4A28"/>
          <w:sz w:val="17"/>
        </w:rPr>
        <w:t>AWS Case Study — 'Stride Learning Cultivates Student Creativity Using Stability AI in Amazon Bedrock', 2025</w:t>
      </w:r>
    </w:p>
    <w:p>
      <w:pPr>
        <w:spacing w:before="20" w:after="20"/>
        <w:ind w:left="170"/>
      </w:pPr>
      <w:r>
        <w:rPr>
          <w:rFonts w:ascii="Calibri" w:hAnsi="Calibri"/>
          <w:b/>
          <w:color w:val="4A6B25"/>
          <w:sz w:val="15"/>
        </w:rPr>
        <w:t xml:space="preserve">4. </w:t>
      </w:r>
      <w:r>
        <w:rPr>
          <w:rFonts w:ascii="Calibri" w:hAnsi="Calibri"/>
          <w:b w:val="0"/>
          <w:color w:val="3A4A28"/>
          <w:sz w:val="17"/>
        </w:rPr>
        <w:t>Stride Corporate Mission and ESG Report — stridelearning.com,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Hagens Berman / Kessler Topaz / Rosen Law — Stride Inc. (LRN) Securities Fraud Class Action, 'Ghost Students' and Compliance Allegations, November-December 2025</w:t>
      </w:r>
    </w:p>
    <w:p>
      <w:pPr>
        <w:spacing w:before="20" w:after="20"/>
        <w:ind w:left="170"/>
      </w:pPr>
      <w:r>
        <w:rPr>
          <w:rFonts w:ascii="Calibri" w:hAnsi="Calibri"/>
          <w:b/>
          <w:color w:val="4A6B25"/>
          <w:sz w:val="15"/>
        </w:rPr>
        <w:t xml:space="preserve">6. </w:t>
      </w:r>
      <w:r>
        <w:rPr>
          <w:rFonts w:ascii="Calibri" w:hAnsi="Calibri"/>
          <w:b w:val="0"/>
          <w:color w:val="3A4A28"/>
          <w:sz w:val="17"/>
        </w:rPr>
        <w:t>StockAnalysis.com and Yahoo Finance — LRN Key Statistics, Forward P/E, PEG Ratio,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