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LTM</w:t>
      </w:r>
      <w:r>
        <w:rPr>
          <w:rFonts w:ascii="Calibri" w:hAnsi="Calibri"/>
          <w:b/>
          <w:color w:val="1A2010"/>
          <w:sz w:val="40"/>
        </w:rPr>
        <w:t xml:space="preserve">  LATAM Airlines Group S.A.</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Chile</w:t>
      </w:r>
    </w:p>
    <w:p>
      <w:pPr>
        <w:spacing w:after="80"/>
      </w:pPr>
      <w:r>
        <w:rPr>
          <w:rFonts w:ascii="Calibri" w:hAnsi="Calibri"/>
          <w:b w:val="0"/>
          <w:color w:val="3A4A28"/>
          <w:sz w:val="20"/>
        </w:rPr>
        <w:t>LATAM Airlines Group is South America's largest airline, operating passenger and cargo services to 160 destinations across 27 countries. Founded in 1929 and headquartered in Santiago, Chile, the company operates a fleet of 371 aircraft and emerged from Chapter 11 bankruptcy in November 2022. In 2025, LATAM achieved record net income of $1.5B and transported 87 million passengers.</w:t>
      </w:r>
    </w:p>
    <w:p>
      <w:r>
        <w:rPr>
          <w:rFonts w:ascii="Calibri" w:hAnsi="Calibri"/>
          <w:b/>
          <w:color w:val="6E8450"/>
          <w:sz w:val="18"/>
        </w:rPr>
        <w:t>43,341 Employees · https://www.latamairlines.com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LATAM's post-bankruptcy transformation continues to deliver — Q2 2026 revenue climbed 27.9% to $4.2B, and the company raised its full-year EBITDA forecast to $4.1-4.4B from $3.8-4.2B [1]. Full-year 2025 delivered record $1.5B net income (up 49.4% YoY) and 87M passengers transported [1]. AI deployment is industry-leading: over 40 AI services across commercial and operational departments via the 'Cosmos' platform built on Google Cloud Vertex AI, driving schedule optimization (1,440 more revenue service days), fraud prevention, pilot training, and CO2 reduction [3]. CDO Andres Bucchi describes LATAM as 'a tech company that flies planes,' reflecting genuine digital-first culture [3]. Dominant market position across Chile, Brazil, Colombia, Peru, and Ecuador with 160 destinations. 2026 guidance projects 8-10% capacity growth.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LATAM's purpose centers on connecting Latin America with the world through air travel — clear but not deeply distinctive beyond what any airline could claim [1]. The company was recognized as the most sustainable airline in Latin America and 5th globally by S&amp;P Corporate Sustainability Assessment, with IEnvA Stage II environmental certification [4]. The 43,341-employee workforce has grown from 39,000 reflecting operational expansion. CEO Roberto Alvo has 18+ years at LATAM, demonstrating leadership continuity through bankruptcy and recovery [3]. However, no specific philanthropic programs or community investment dollar amounts were identified, and the dividend program is only 2-3 years old post-emergence.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 shows strong revenue momentum with Q2 2026 at $4.2B (+27.9%) and raised EBITDA guidance to $4.1-4.4B [1]. ROE of 108.0% reflects exceptional capital efficiency post-restructuring, and forward PE of 7.99 offers attractive valuation well below the 20 target [2]. PEG of 2.58 and revenue 3-year CAGR of approximately 15% (2022-2025: $9.4B to $14.3B) demonstrate strong growth, though inflated by post-COVID recovery [2]. The primary weakness is D/E of 454.5%, well above the 300% floor, reflecting $9.0B total debt — structural for airlines but scoring 0 on that metric [2]. Profit margin of 9.85% is below the 20% target, partly reflecting Q2 2026 earnings decline (-46.2% YoY). Liquidity floor cleared: 758K avg volume x $51.15 = $38.8M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LATAM shows mixed infinite-game characteristics. The company's survival through Chapter 11 and emergence as a record-breaking airline demonstrates resilience, and the digital transformation vision — 'a tech company that flies planes' — suggests long-term strategic thinking. However, the airline industry's inherent quarterly focus on load factors and unit costs, the recent Q2 2026 earnings decline despite revenue growth, and the absence of a deeply articulated purpose beyond air connectivity indicate significant finite-game tendencies.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 has a genuine cause centered on connecting Latin America with the world and enabling regional mobility, validated by the company's survival through Chapter 11 bankruptcy and transformation into the region's strongest airline [1]. The sustainability commitment — most sustainable airline in Latin America per S&amp;P CSA, 5th globally — adds depth to the mission [4]. However, air connectivity is the functional purpose of every airline, and the cause lacks the aspirational idealism of a true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Roberto Alvo has led LATAM for 18+ years, providing exceptional leadership continuity through bankruptcy and recovery [3]. The 43,341-employee workforce expanded from 39,000, reflecting confidence in growth. Leadership emphasizes that AI is 'a tool, not a magic solution' and that culture and organization matter more than technology [3]. The dual CDO/CIO structure reflects trust in distributed digital leadership. However, no specific data on employee tenure, voluntary turnover, or psychological safety practices was identified for this large multinational workforce.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 competes against Copa, Avianca, and Gol in Latin America, plus global carriers on international routes. The company's focus on AI deployment and digital transformation suggests learning from tech-forward peers, but public communications primarily highlight LATAM's own achievements (record profits, AI deployment, sustainability awards) rather than explicitly acknowledging competitors' strengths as motivation for 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LATAM's Chapter 11 restructuring — shedding $3.6B in debt, restructuring fleet and operations, and reimagining digital infrastructure — qualifies as meaningful strategic adaptation [1]. The evolution from legacy carrier to self-described 'tech company that flies planes' with 40+ AI services represents genuine transformation [3]. However, this was driven by existential necessity (bankruptcy) rather than proactive reinvention, and the core business model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LATAM's leadership navigated Chapter 11, making difficult decisions including fleet rationalization and debt restructuring [1]. Post-emergence, aggressive 8-10% capacity expansion with fleet growth and commitment to digital transformation demonstrate investment conviction. Raising the EBITDA forecast to $4.1-4.4B despite Q2 2026 earnings pressure shows confidence [1]. However, the recent -46.2% earnings decline amid 27.9% revenue growth raises questions about cost discipline and margin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LATAM Airlines is delivering exceptional post-bankruptcy revenue growth — Q2 2026 revenue surged 27.9% to $4.2B, prompting management to raise the full-year EBITDA forecast to $4.1-4.4B [1]. The 2025 record of $1.5B net income (up 49.4%) and 87M passengers transported demonstrates the structural efficiency gains from Chapter 11 restructuring [1]. At 7.99x forward earnings with ROE of 108%, LATAM offers attractive valuation for South America's dominant airline franchise with 160 destinations and 371 aircraft. AI deployment is industry-leading with 40+ services via the Cosmos platform, including schedule optimization generating 1,440 more revenue service days [3]. 2026 guidance projects 8-10% capacity growth with EBITDA of $4.1-4.4B.</w:t>
      </w:r>
    </w:p>
    <w:p>
      <w:pPr>
        <w:spacing w:after="120"/>
      </w:pPr>
      <w:r>
        <w:rPr>
          <w:rFonts w:ascii="Calibri" w:hAnsi="Calibri"/>
          <w:b w:val="0"/>
          <w:color w:val="3A4A28"/>
          <w:sz w:val="20"/>
        </w:rPr>
        <w:t>The bear case centers on balance sheet leverage, earnings volatility, and cyclical risk. D/E of 454.5% with $9.0B total debt remains dangerously elevated for a cyclical business only 3 years removed from Chapter 11 [2]. Q2 2026 revealed a critical disconnect: revenue grew 27.9% but earnings declined 46.2%, with profit margin compressing from 11.2% to 9.85%, suggesting cost pressures (fuel, labor, fleet expansion) are outpacing top-line gains [2]. The revenue CAGR of ~15% is inflated by post-COVID recovery and will normalize to mid-single digits. Latin American macro exposure creates persistent headwinds: currency devaluations, political instability across five operating countries, and fuel price volatility represent structural risks. The Inspire score of 0 (MIXED) with no attributions reflects neutral ESG positioning from a faith-alignment perspective.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EBITDA guidance to $4.1-4.4B (from $3.8-4.2B) with 8-10% capacity growth and fleet expansion, demonstrating continued momentum from the post-bankruptcy transformation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efficiencies scaling across the fleet via Cosmos platform — 40+ AI services including schedule optimization, predictive maintenance, and customer interaction automation driving measurable value [3]</w:t>
      </w:r>
    </w:p>
    <w:p>
      <w:pPr>
        <w:spacing w:before="40" w:after="40"/>
        <w:ind w:left="283"/>
      </w:pPr>
      <w:r>
        <w:rPr>
          <w:rFonts w:ascii="Calibri" w:hAnsi="Calibri"/>
          <w:b/>
          <w:color w:val="4A6B25"/>
          <w:sz w:val="20"/>
        </w:rPr>
        <w:t xml:space="preserve">3. </w:t>
      </w:r>
      <w:r>
        <w:rPr>
          <w:rFonts w:ascii="Calibri" w:hAnsi="Calibri"/>
          <w:b w:val="0"/>
          <w:color w:val="3A4A28"/>
          <w:sz w:val="20"/>
        </w:rPr>
        <w:t>Forward PE of 7.99x offers compelling valuation for South America's dominant carrier with 108% ROE and record revenue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454.5% with $9.0B total debt in a cyclical, capital-intensive industry — only 3 years from Chapter 11 bankruptcy, any demand shock or fuel spike could severely pressure margins [2]</w:t>
      </w:r>
    </w:p>
    <w:p>
      <w:pPr>
        <w:spacing w:before="40" w:after="40"/>
        <w:ind w:left="283"/>
      </w:pPr>
      <w:r>
        <w:rPr>
          <w:rFonts w:ascii="Calibri" w:hAnsi="Calibri"/>
          <w:b/>
          <w:color w:val="4A6B25"/>
          <w:sz w:val="20"/>
        </w:rPr>
        <w:t xml:space="preserve">2. </w:t>
      </w:r>
      <w:r>
        <w:rPr>
          <w:rFonts w:ascii="Calibri" w:hAnsi="Calibri"/>
          <w:b w:val="0"/>
          <w:color w:val="3A4A28"/>
          <w:sz w:val="20"/>
        </w:rPr>
        <w:t>Q2 2026 earnings declined 46.2% despite 27.9% revenue growth, revealing cost pressures that compressed profit margin to 9.85% and raising questions about sustainable profitability at scale [1][2]</w:t>
      </w:r>
    </w:p>
    <w:p>
      <w:pPr>
        <w:spacing w:before="40" w:after="40"/>
        <w:ind w:left="283"/>
      </w:pPr>
      <w:r>
        <w:rPr>
          <w:rFonts w:ascii="Calibri" w:hAnsi="Calibri"/>
          <w:b/>
          <w:color w:val="4A6B25"/>
          <w:sz w:val="20"/>
        </w:rPr>
        <w:t xml:space="preserve">3. </w:t>
      </w:r>
      <w:r>
        <w:rPr>
          <w:rFonts w:ascii="Calibri" w:hAnsi="Calibri"/>
          <w:b w:val="0"/>
          <w:color w:val="3A4A28"/>
          <w:sz w:val="20"/>
        </w:rPr>
        <w:t>Latin American macro exposure including currency volatility across Chile, Brazil, Colombia, Peru, and Ecuador, political instability, and fuel price sensitivity in a region with limited hedging options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LATAM's core business — physically transporting 87M passengers annually across Latin America using a 371-aircraft fleet — is structurally immune to AI disruption [1]. Aircraft maintenance, crew operations, airport logistics, and passenger movement require physical capabilities beyond AI's reach. Regulatory barriers (bilateral air service agreements, safety certifications, slot allocations) create additional structural moats. LATAM is proactively deploying AI rather than being disrupted: 40+ AI services via the 'Cosmos' platform on Google Cloud Vertex AI, including schedule optimization yielding 1,440 more revenue service days, predictive maintenance, and AI-managed customer interactions [3]. The dual CDO/CIO leadership structure and 'tech company that flies planes' mentality position LATAM as an AI beneficiary within the airline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LATAM Airlines 2025 Results and Q2 2026 Update — Record $1.5B net income, Q2 revenue $4.2B (+27.9%), raised EBITDA guidance to $4.1-4.4B, Investing.com/Yahoo Finance,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LTM key statistics, financial ratios, D/E 454.5%, Forward PE 7.99,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LATAM Airlines Digital Transformation — 40+ AI services, Cosmos platform on Google Cloud Vertex AI, CDO Andres Bucchi, SimpleFlying/Iguazio/Delphina.ai, 2025-2026</w:t>
      </w:r>
    </w:p>
    <w:p>
      <w:pPr>
        <w:spacing w:before="20" w:after="20"/>
        <w:ind w:left="170"/>
      </w:pPr>
      <w:r>
        <w:rPr>
          <w:rFonts w:ascii="Calibri" w:hAnsi="Calibri"/>
          <w:b/>
          <w:color w:val="4A6B25"/>
          <w:sz w:val="15"/>
        </w:rPr>
        <w:t xml:space="preserve">4. </w:t>
      </w:r>
      <w:r>
        <w:rPr>
          <w:rFonts w:ascii="Calibri" w:hAnsi="Calibri"/>
          <w:b w:val="0"/>
          <w:color w:val="3A4A28"/>
          <w:sz w:val="17"/>
        </w:rPr>
        <w:t>LATAM Airlines Sustainability — Most sustainable airline in Latin America, S&amp;P CSA recognition, IEnvA certification, CSRHub,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