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LULU</w:t>
      </w:r>
      <w:r>
        <w:rPr>
          <w:rFonts w:ascii="Calibri" w:hAnsi="Calibri"/>
          <w:b/>
          <w:color w:val="1A2010"/>
          <w:sz w:val="40"/>
        </w:rPr>
        <w:t xml:space="preserve">  lululemon athletica inc.</w:t>
      </w:r>
    </w:p>
    <w:p>
      <w:pPr>
        <w:spacing w:after="120"/>
      </w:pPr>
      <w:r>
        <w:rPr>
          <w:rFonts w:ascii="Calibri" w:hAnsi="Calibri"/>
          <w:b/>
          <w:color w:val="6E8450"/>
          <w:sz w:val="18"/>
        </w:rPr>
        <w:t>GROWTH SLEEVE · 2026-09-06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Apparel Retail · NasdaqGS · Canada</w:t>
      </w:r>
    </w:p>
    <w:p>
      <w:pPr>
        <w:spacing w:after="80"/>
      </w:pPr>
      <w:r>
        <w:rPr>
          <w:rFonts w:ascii="Calibri" w:hAnsi="Calibri"/>
          <w:b w:val="0"/>
          <w:color w:val="3A4A28"/>
          <w:sz w:val="20"/>
        </w:rPr>
        <w:t>lululemon athletica inc. designs, distributes, and retails technical athletic apparel, footwear, and accessories for women and men. Operating over 700 stores globally with ~39,000 employees, the brand commands premium pricing in the athleisure category through fabric innovation and community-driven marketing. FY2025 revenue reached ~$10.9B but the company faces Americas deceleration and has revised FY2026 guidance down to $10.35-10.50B (down 5-7%), while incoming CEO Heidi O'Neill (ex-Nike) navigates tariff headwinds and competitive pressure.</w:t>
      </w:r>
    </w:p>
    <w:p>
      <w:r>
        <w:rPr>
          <w:rFonts w:ascii="Calibri" w:hAnsi="Calibri"/>
          <w:b/>
          <w:color w:val="6E8450"/>
          <w:sz w:val="18"/>
        </w:rPr>
        <w:t>39,000 Employees · https://corporate.lululemon.com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lululemon expanded from yoga apparel into men's wear, footwear, and international markets, building a $10.9B global brand [1]. However, growth has decelerated sharply — Q1 FY2026 revenue grew only 4% with Americas comparable sales declining 5%, and full-year FY2026 guidance was revised down to $10.35-10.50B (down 5-7%) from original guidance of $11.35-11.50B [1][7]. No transformative business model pivot; the core premium athletic retail model is unchanged. AI Deployment (1/2): lululemon created a Chief AI &amp; Technology Officer role (Ranju Das) to drive AI strategy, with CEO McDonald stating AI would 'advance product innovation, improve agility and speed to market, and bring more engagement and personalization' [3]. However, Das departed the role in August 2026, and no specific AI products or quantified savings have been disclosed. Market Share (2/2): lululemon holds a category-defining position in premium athletic apparel, commanding 70%+ price premiums over competitors with strong brand loyalty and community-driven marketing across 700+ global stores [1]. Product Pipeline (1/2): International expansion continues with China growing 30% YoY in Q1 FY2026, and footwear line is scaling [1]. But no specific next-generation products with launch dates or revenue visibility have been announced. R&amp;D Intensity (1/1): Significant investment in proprietary fabric technologies (Nulu, Everlux, SenseKnit) and product innovation well above apparel industry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'Elevating the world from mediocrity to greatness' through products for 'sweaty pursuits' is distinctive in the athletic apparel space and has consistently shaped lululemon's community-driven brand identity, ambassador network, and premium positioning [3]. The purpose differentiates from generic retailers but reads as aspirational marketing rather than a deeply validated societal cause. Community Impact (1/2): Strong grassroots community programs through ambassador network, free in-store yoga and fitness classes, and the Here to Be foundation supporting social impact through yoga and mindfulness [5]. However, Stand.Earth has filed greenwashing allegations with the Canadian Competition Bureau regarding lululemon's 'Be Earth' environmental claims, and ESG risk is rated as Average by Sustainalytics [5][6]. Employee Retention (1/2): CEO Calvin McDonald provided stable leadership for 8 years (2018-2026) and ~39,000 employees operate within a generally positive brand culture [3]. However, the CAITO Ranju Das departed after only 9 months, incoming CEO Heidi O'Neill represents significant leadership transition, and store-level retail turnover is inherent to the industry. Insider Buying (0/2): No evidence of meaningful personal net insider buying by executives in the last 12 months, despite the stock declining 39% over 52 weeks.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D/E of 44% is well below the 70% target (score 1.0) with $1.51B cash against $2.14B debt [4]. ROE of 32% far exceeds the 15% target (score 1.0, 2x weight), reflecting strong capital efficiency. Forward P/E of 10.93 is deeply discounted below the 20 target (score 1.0), and PEG of 1.18 is near the 1.0 target (score 0.91, 2x weight) [4]. Revenue growth YoY of 4% (Q1 FY2026) is below the 10% target but positive (score 0.80). Net profit margin of 13% is below the 20% target (score 0.65) [4]. The compressed valuation reflects severe market pessimism about Americas deceleration and tariff impacts — the stock has declined 39% in 52 weeks [4]. Daily dollar volume of ~$430M ($115 × 3.7M shares) provides excellent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lululemon demonstrates moderate infinite game thinking through its 25+ year commitment to community-driven wellness, premium positioning, and fabric innovation that differentiates from fast-fashion competitors. The ambassador network and grassroots community model reflect enduring values. However, the CEO transition from McDonald to O'Neill (ex-Nike), CAITO departure after 9 months, Americas revenue declining 5%, and FY2026 guidance revised down 5-7% create finite-game pressures as the company navigates its most challenging period since founding.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'Elevating the world from mediocrity to greatness' has been consistently maintained since founding, shaping lululemon's community-driven retail model, ambassador program, and premium product development philosophy [3]. The purpose is distinctive and has guided the brand through expansion into men's, footwear, and international markets. However, the cause has not yet been tested through a full strategic crisis, and the current leadership transition raises questions about whether the incoming CEO from Nike will maintain the same purpose-driven identity.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McDonald provided 8 years of stable leadership, and the company's store-level culture built around community and wellness is generally positive among employees [3]. However, the CEO transition to Heidi O'Neill (ex-Nike), CAITO departure after 9 months, and broader executive reshuffling create organizational uncertainty at a critical time when Americas revenue is declining and tariff headwinds require nimble execution.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lululemon competes against Nike, Vuori, Alo Yoga, and Athleta but frames competition as motivation to maintain fabric innovation, community connection, and premium brand identity rather than price wars or market share battles [1]. The company's refusal to match competitor discounting despite revenue pressure demonstrates a learning-oriented rather than destruction-oriented competitive stance.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lululemon has expanded meaningfully — from women's yoga apparel to men's wear, footwear, accessories, and aggressive international growth with China revenue surging 30% YoY [1]. The shift toward international diversification and new product categories shows strategic flexibility. However, the core business model of premium athletic apparel retail remains fundamentally unchanged, and the expansion has been incremental rather than transformative.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lululemon has maintained premium pricing discipline, resisting broad discounting even as Americas comps declined 5% and the stock fell 39% [1][4]. The continued investment in China expansion despite geopolitical risk, and the commitment to the fabric innovation pipeline despite revenue headwinds, show some courage to protect long-term brand equity over short-term earnings. However, the FY2026 guidance revision down to $10.35-10.50B suggests the challenges may be deepening beyond what premium positioning alone can address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lululemon trades at a deeply compressed 10.93x forward earnings and 1.18 PEG, reflecting severe market pessimism after a 39% stock decline over 52 weeks [4]. The underlying business maintains exceptional financial quality — 32% ROE, 44% D/E, $1.28B free cash flow — and China revenue surged 30% YoY in Q1 FY2026, demonstrating the brand's international growth runway [1]. The premium athletic apparel category remains structurally advantaged over commodity fashion, and lululemon's fabric innovation, community model, and 700+ store footprint create durable competitive moats. At sub-11x forward earnings, the stock prices in little upside from Americas stabilization or tariff resolution.</w:t>
      </w:r>
    </w:p>
    <w:p>
      <w:pPr>
        <w:spacing w:after="120"/>
      </w:pPr>
      <w:r>
        <w:rPr>
          <w:rFonts w:ascii="Calibri" w:hAnsi="Calibri"/>
          <w:b w:val="0"/>
          <w:color w:val="3A4A28"/>
          <w:sz w:val="20"/>
        </w:rPr>
        <w:t>The bear case is increasingly challenging. FY2026 guidance has been revised sharply downward to $10.35-10.50B (down 5-7%), with Americas comparable sales declining 5% and EPS declining 38% due to tariff-related cost increases and markdowns [1][7]. The CEO transition — McDonald out after 8 years, Nike veteran O'Neill incoming — creates execution risk at the worst possible time, compounded by the CAITO departure after only 9 months [3]. Growing China dependence (now ~19% of revenue) introduces geopolitical risk, while greenwashing allegations from Stand.Earth and increasing ESG scrutiny add reputational concerns [5][6]. The competitive landscape has intensified with Vuori, Alo Yoga, and Nike's DTC push eroding lululemon's premium positioning in North America, and the FY2026 revenue decline guidance suggests management sees no near-term catalyst for Americas reacceleration.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China revenue growing 30% YoY could offset Americas weakness as international mix increases, providing a growth engine while the domestic market stabilizes</w:t>
      </w:r>
    </w:p>
    <w:p>
      <w:pPr>
        <w:spacing w:before="40" w:after="40"/>
        <w:ind w:left="283"/>
      </w:pPr>
      <w:r>
        <w:rPr>
          <w:rFonts w:ascii="Calibri" w:hAnsi="Calibri"/>
          <w:b/>
          <w:color w:val="4A6B25"/>
          <w:sz w:val="20"/>
        </w:rPr>
        <w:t xml:space="preserve">2. </w:t>
      </w:r>
      <w:r>
        <w:rPr>
          <w:rFonts w:ascii="Calibri" w:hAnsi="Calibri"/>
          <w:b w:val="0"/>
          <w:color w:val="3A4A28"/>
          <w:sz w:val="20"/>
        </w:rPr>
        <w:t>Extreme valuation compression to 10.9x forward PE and 1.18 PEG creates significant upside optionality if Americas comparable sales inflect positive or tariff headwinds abate</w:t>
      </w:r>
    </w:p>
    <w:p>
      <w:pPr>
        <w:spacing w:before="40" w:after="40"/>
        <w:ind w:left="283"/>
      </w:pPr>
      <w:r>
        <w:rPr>
          <w:rFonts w:ascii="Calibri" w:hAnsi="Calibri"/>
          <w:b/>
          <w:color w:val="4A6B25"/>
          <w:sz w:val="20"/>
        </w:rPr>
        <w:t xml:space="preserve">3. </w:t>
      </w:r>
      <w:r>
        <w:rPr>
          <w:rFonts w:ascii="Calibri" w:hAnsi="Calibri"/>
          <w:b w:val="0"/>
          <w:color w:val="3A4A28"/>
          <w:sz w:val="20"/>
        </w:rPr>
        <w:t>New CEO Heidi O'Neill brings 30+ years of Nike experience scaling global athletic brands, potentially injecting fresh operational discipline and product innovation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FY2026 guidance revised down to $10.35-10.50B (down 5-7%) with Americas comps declining 5%, signaling potential brand fatigue or market saturation in the core North American market</w:t>
      </w:r>
    </w:p>
    <w:p>
      <w:pPr>
        <w:spacing w:before="40" w:after="40"/>
        <w:ind w:left="283"/>
      </w:pPr>
      <w:r>
        <w:rPr>
          <w:rFonts w:ascii="Calibri" w:hAnsi="Calibri"/>
          <w:b/>
          <w:color w:val="4A6B25"/>
          <w:sz w:val="20"/>
        </w:rPr>
        <w:t xml:space="preserve">2. </w:t>
      </w:r>
      <w:r>
        <w:rPr>
          <w:rFonts w:ascii="Calibri" w:hAnsi="Calibri"/>
          <w:b w:val="0"/>
          <w:color w:val="3A4A28"/>
          <w:sz w:val="20"/>
        </w:rPr>
        <w:t>CEO transition at a critical inflection point creates execution risk — leadership change coincides with tariff headwinds, CAITO departure, and the most challenging operating environment since founding</w:t>
      </w:r>
    </w:p>
    <w:p>
      <w:pPr>
        <w:spacing w:before="40" w:after="40"/>
        <w:ind w:left="283"/>
      </w:pPr>
      <w:r>
        <w:rPr>
          <w:rFonts w:ascii="Calibri" w:hAnsi="Calibri"/>
          <w:b/>
          <w:color w:val="4A6B25"/>
          <w:sz w:val="20"/>
        </w:rPr>
        <w:t xml:space="preserve">3. </w:t>
      </w:r>
      <w:r>
        <w:rPr>
          <w:rFonts w:ascii="Calibri" w:hAnsi="Calibri"/>
          <w:b w:val="0"/>
          <w:color w:val="3A4A28"/>
          <w:sz w:val="20"/>
        </w:rPr>
        <w:t>Growing China dependence (~19% of revenue) introduces geopolitical risk, while greenwashing allegations and ESG scrutiny from Stand.Earth could damage the brand's wellness-conscious positioning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lululemon's core business — designing, manufacturing, and retailing premium athletic apparel through 700+ physical stores — is structurally immune to AI disruption [1]. Physical clothing requires tactile fabric innovation, manufacturing, and try-on experiences that AI cannot substitute. The community-driven retail model (ambassador programs, in-store classes) creates human connection that digital AI alternatives cannot replicate. Brand trust, fit consistency, and premium positioning are physical-world moats. AI could enhance supply chain optimization, personalized marketing, and product development speed, but these are enablers, not threats. No analyst identifies AI substitution as a risk for premium apparel brands. AI Opportunity (0/1): No meaningful AI-specific revenue or products. AI is deployed internally for personalization and product development optimization, but lululemon generates zero revenue from AI products or services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lululemon athletica FY2025 Fourth Quarter and Full-Year Results — BusinessWire, March 17, 2026</w:t>
      </w:r>
    </w:p>
    <w:p>
      <w:pPr>
        <w:spacing w:before="20" w:after="20"/>
        <w:ind w:left="170"/>
      </w:pPr>
      <w:r>
        <w:rPr>
          <w:rFonts w:ascii="Calibri" w:hAnsi="Calibri"/>
          <w:b/>
          <w:color w:val="4A6B25"/>
          <w:sz w:val="15"/>
        </w:rPr>
        <w:t xml:space="preserve">2. </w:t>
      </w:r>
      <w:r>
        <w:rPr>
          <w:rFonts w:ascii="Calibri" w:hAnsi="Calibri"/>
          <w:b w:val="0"/>
          <w:color w:val="3A4A28"/>
          <w:sz w:val="17"/>
        </w:rPr>
        <w:t>lululemon Updates Revenue and Earnings Expectations for Q4 Ahead of ICR Conference — January 12, 2026</w:t>
      </w:r>
    </w:p>
    <w:p>
      <w:pPr>
        <w:spacing w:before="20" w:after="20"/>
        <w:ind w:left="170"/>
      </w:pPr>
      <w:r>
        <w:rPr>
          <w:rFonts w:ascii="Calibri" w:hAnsi="Calibri"/>
          <w:b/>
          <w:color w:val="4A6B25"/>
          <w:sz w:val="15"/>
        </w:rPr>
        <w:t xml:space="preserve">3. </w:t>
      </w:r>
      <w:r>
        <w:rPr>
          <w:rFonts w:ascii="Calibri" w:hAnsi="Calibri"/>
          <w:b w:val="0"/>
          <w:color w:val="3A4A28"/>
          <w:sz w:val="17"/>
        </w:rPr>
        <w:t>Lululemon Shifts Technology and Information Leadership with Focus on AI — SGB Media; CEO McDonald AI strategy comments</w:t>
      </w:r>
    </w:p>
    <w:p>
      <w:pPr>
        <w:spacing w:before="20" w:after="20"/>
        <w:ind w:left="170"/>
      </w:pPr>
      <w:r>
        <w:rPr>
          <w:rFonts w:ascii="Calibri" w:hAnsi="Calibri"/>
          <w:b/>
          <w:color w:val="4A6B25"/>
          <w:sz w:val="15"/>
        </w:rPr>
        <w:t xml:space="preserve">4. </w:t>
      </w:r>
      <w:r>
        <w:rPr>
          <w:rFonts w:ascii="Calibri" w:hAnsi="Calibri"/>
          <w:b w:val="0"/>
          <w:color w:val="3A4A28"/>
          <w:sz w:val="17"/>
        </w:rPr>
        <w:t>StockAnalysis.com — LULU key statistics and valuation metrics,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Lululemon Faces Mounting ESG Scrutiny, Legal Risks, and Activism Pressure — Globe and Mail</w:t>
      </w:r>
    </w:p>
    <w:p>
      <w:pPr>
        <w:spacing w:before="20" w:after="20"/>
        <w:ind w:left="170"/>
      </w:pPr>
      <w:r>
        <w:rPr>
          <w:rFonts w:ascii="Calibri" w:hAnsi="Calibri"/>
          <w:b/>
          <w:color w:val="4A6B25"/>
          <w:sz w:val="15"/>
        </w:rPr>
        <w:t xml:space="preserve">6. </w:t>
      </w:r>
      <w:r>
        <w:rPr>
          <w:rFonts w:ascii="Calibri" w:hAnsi="Calibri"/>
          <w:b w:val="0"/>
          <w:color w:val="3A4A28"/>
          <w:sz w:val="17"/>
        </w:rPr>
        <w:t>Stand.Earth Greenwashing Allegations Against lululemon's 'Be Earth' Campaign; Sustainalytics ESG Rating</w:t>
      </w:r>
    </w:p>
    <w:p>
      <w:pPr>
        <w:spacing w:before="20" w:after="20"/>
        <w:ind w:left="170"/>
      </w:pPr>
      <w:r>
        <w:rPr>
          <w:rFonts w:ascii="Calibri" w:hAnsi="Calibri"/>
          <w:b/>
          <w:color w:val="4A6B25"/>
          <w:sz w:val="15"/>
        </w:rPr>
        <w:t xml:space="preserve">7. </w:t>
      </w:r>
      <w:r>
        <w:rPr>
          <w:rFonts w:ascii="Calibri" w:hAnsi="Calibri"/>
          <w:b w:val="0"/>
          <w:color w:val="3A4A28"/>
          <w:sz w:val="17"/>
        </w:rPr>
        <w:t>lululemon Q2 FY2026 Results — SEC Form 8-K, August 2, 2026; FY2026 Guidance Revision to $10.35-10.50B</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