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LU</w:t>
      </w:r>
      <w:r>
        <w:rPr>
          <w:rFonts w:ascii="Calibri" w:hAnsi="Calibri"/>
          <w:b/>
          <w:color w:val="1A2010"/>
          <w:sz w:val="40"/>
        </w:rPr>
        <w:t xml:space="preserve">  Lufax Holding Ltd</w:t>
      </w:r>
    </w:p>
    <w:p>
      <w:pPr>
        <w:spacing w:after="120"/>
      </w:pPr>
      <w:r>
        <w:rPr>
          <w:rFonts w:ascii="Calibri" w:hAnsi="Calibri"/>
          <w:b/>
          <w:color w:val="6E8450"/>
          <w:sz w:val="18"/>
        </w:rPr>
        <w:t>GROWTH SLEEVE · 2026-09-20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NYSE · China</w:t>
      </w:r>
    </w:p>
    <w:p>
      <w:pPr>
        <w:spacing w:after="80"/>
      </w:pPr>
      <w:r>
        <w:rPr>
          <w:rFonts w:ascii="Calibri" w:hAnsi="Calibri"/>
          <w:b w:val="0"/>
          <w:color w:val="3A4A28"/>
          <w:sz w:val="20"/>
        </w:rPr>
        <w:t>Lufax Holding is a Chinese fintech company backed by Ping An Insurance, providing credit facilitation, consumer finance, and wealth management services. Originally a peer-to-peer lending platform, Lufax pivoted to institutional credit facilitation and consumer finance after China's P2P lending crackdown. Q2 2026 total income was RMB 6.2B (down 15.4% YoY), but net loss narrowed sharply to RMB 82M from RMB 594M a year ago. New CEO Xiang Ji took over in April 2026, replacing retiring Yong Suk Cho.</w:t>
      </w:r>
    </w:p>
    <w:p>
      <w:r>
        <w:rPr>
          <w:rFonts w:ascii="Calibri" w:hAnsi="Calibri"/>
          <w:b/>
          <w:color w:val="6E8450"/>
          <w:sz w:val="18"/>
        </w:rPr>
        <w:t>35,000 Employees · https://www.lufaxholding.com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Lufax successfully pivoted from P2P lending to credit facilitation and consumer finance, avoiding the industry's collapse, but the transformation has not stemmed multi-year revenue decline — H1 2026 total income of RMB 12.5B declined 11.3% from H1 2025's RMB 14.1B, and revenue is down 65%+ from the 2021 peak of CN¥54.6B [1]. AI Deployment (1/2): The company operates an AI Lab, showcased AI technologies at WAIC including the KYI (Know-Your-Intention) prediction model, facial recognition, and micro facial expression analysis for enhanced customer experience and credit scoring [2]. However, these innovations have not reversed the revenue decline. Market Share (0/2): Lufax is losing share in China's fintech landscape as larger technology platforms (Ant Group, JD Finance, WeBank) and traditional banks build superior fintech capabilities with greater data advantages and distribution [2]. Pipeline (0/2): No next-generation products with specific timelines announced. New CEO Xiang Ji has not yet articulated a clear growth roadmap beyond stabilization [1]. R&amp;D Intensity (1/1): Lufax maintains AI Lab investment and technology platform capabilities despite revenue headwinds, reflecting above-average R&amp;D commitment for a Chinese financial services company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Lufax's 'Four More Finance' strategy (warming, efficient, reliable, sustainable) and inclusive finance positioning are generic corporate language interchangeable with any Chinese fintech platform [4]. The mission has not differentiated the company or arrested its decline. Community Impact (1/2): Lufax serves millions of small business borrowers in China, providing financial access to underserved segments through its consumer finance platform. The company joined the FTSE ESG Low Carbon Select Index and published ESG reports highlighting financial inclusion commitments [3]. However, shrinking operations reduce community impact. Employee Retention (0/2): CEO transition to Xiang Ji (April 2026) after retirement of long-time CEO Yong Suk Cho signals ongoing leadership change. Ping An board members were simultaneously installed. No specific retention or tenure data available, and workforce reductions likely given multi-year revenue decline [2]. Insider Buying (0/2): No evidence of meaningful open-market insider buying by executives. Ping An Insurance is the controlling shareholder but institutional ownership is not personal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for a Growth stock. Revenue decline has moderated significantly — H1 2026 down 11.3% YoY versus FY2024's -41% YoY — and Q2 2026 net loss narrowed to RMB 82M from RMB 594M a year earlier, suggesting an inflection toward profitability [1]. D/E of 89.1% is above the 70% target but below the 300% floor (score 0.92) [4]. Revenue growth of -11.3% YoY (score 0.29) shows improvement but remains negative. ROE of -2.3% (score 0.0 with 2x weight) and profit margin of -7.8% (score 0.0) reflect ongoing unprofitability. Forward P/E of 6.14x (score 1.0) reflects deep value pricing and analyst expectation of a return to profitability — analysts forecast $0.89 EPS for FY2026 [1]. Estimated 5yr revenue CAGR of approximately -14% scores 0.0. Calculation: D/E 0.92×1 + ROE 0×2 + RevYoY 0.29×1 + Rev5yr 0×2 + FwdPE 1.0×1 + ProfMgn 0×1 = 2.21/8 × 10 → 3. Liquidity floor narrowly cleared: 876K avg vol × $1.18 = $1.03M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Lufax's trajectory reflects finite game thinking — reacting to regulatory pressure, managing multi-year decline, and cycling through leadership rather than building from a durable purpose. The P2P-to-consumer-finance pivot was survival-driven, not cause-driven. The February 2026 CEO and board overhaul, installing Ping An veterans, suggests the parent company is reasserting control rather than the organization pursuing its own cause. The company is playing to survive rather than playing to build something enduring.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Lufax's stated purpose of inclusive financial services through technology exists but has been rendered shallow by the company's declining trajectory — it reads as marketing rather than a guide for strategic decisions [4]. The serial pivots (P2P to credit facilitation to consumer finance) suggest strategy follows regulation, not purpose. The 'Four More Finance' framing is corporate language with no evidence it inspires sacrifice or differentiates from any peer. The February 2026 management overhaul installing Ping An veterans suggests purpose is set by the parent, not organically driven.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February 2026 management overhaul — new CEO Xiang Ji, new board directors from Ping An, retiring CEO Yong Suk Cho — signals instability and parent-company reassertion of control rather than organizational trust [2]. A company that has experienced 65%+ revenue decline over three years is almost certainly experiencing workforce anxiety, morale erosion, and likely workforce reductions. No evidence of employee empowerment, psychological safety, or trust-building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Lufax acknowledges competitive pressure from Ant Group, WeBank, JD Finance, and traditional banks developing fintech capabilities, but the competitive response has been retrenchment rather than learning from rivals' strengths [2]. The company's shrinking market position and defensive posture reflect a finite competitive mindset — managing decline rather than using competitive pressure as motivation for innovation.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Lufax demonstrated meaningful flexibility by successfully exiting P2P lending before the industry collapsed, pivoting to credit facilitation and consumer finance [1]. This was a genuine strategic transformation that preserved the company when many P2P peers were liquidated. However, the pivot was forced by Chinese regulation rather than driven by purpose or strategic vision, and the business continues to decline significantly despite the transformation. Consumer finance loan growth (+27.6% in Q2 2026) shows some adaptive capacity.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P2P exit was regulatory compliance, not a principled choice to sacrifice near-term performance for long-term capability. The management overhaul suggests Ping An is directing strategy rather than internal leadership making bold bets [2]. The company has been in managed-decline mode — no evidence of counter-consensus investments, bold market entries, or strategic bets that sacrifice short-term results for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Lufax at 6.14x forward earnings and $1.02B market cap trades at deep distressed value, with analysts projecting a return to profitability ($0.89 EPS for FY2026) after years of losses [1]. Q2 2026 showed meaningful improvement: net loss narrowed to RMB 82M from RMB 594M a year earlier, new loan sales rose 4.6% YoY, and consumer finance sales surged 27.6%, suggesting the business may be approaching an inflection point [1]. The revenue decline moderated from -41% in FY2024 to -11.3% in H1 2026. Ping An Insurance backing provides financial stability, distribution access, and regulatory credibility. If CEO Xiang Ji successfully stabilizes the consumer finance franchise and achieves the projected earnings recovery, the stock's extreme discount to book value leaves room for significant re-rating from $1.18.</w:t>
      </w:r>
    </w:p>
    <w:p>
      <w:pPr>
        <w:spacing w:after="120"/>
      </w:pPr>
      <w:r>
        <w:rPr>
          <w:rFonts w:ascii="Calibri" w:hAnsi="Calibri"/>
          <w:b w:val="0"/>
          <w:color w:val="3A4A28"/>
          <w:sz w:val="20"/>
        </w:rPr>
        <w:t>The bear case remains compelling. Revenue has declined 65%+ over three years (CN¥54.6B in 2021 to ~CN¥25B in H1 2026 annualized), and while the rate of decline is moderating, H1 2026 income of RMB 12.5B still fell 11.3% YoY with no clear path to growth [1]. ROE of -2.3% and profit margin of -7.8% indicate the company remains unprofitable despite the narrowing loss [4]. D/E has increased from 55% to 89%, reflecting balance sheet deterioration. China's regulatory environment for fintech remains hostile, with ongoing uncertainty about credit facilitation rules, data privacy requirements, and consumer lending caps. Competition from Ant Group, WeBank, and traditional bank fintech platforms is intensifying as they deploy superior AI capabilities at scale [2]. The ADR structure adds delisting risk under US-China tensions. Critically, liquidity of just $1.03M daily barely clears the $1M floor — any further stock decline below $1.14 or volume reduction would trigger the infrastructure zero-score and render the stock uninvestable [4]. At $1.18 per ADS (down ~95% from IPO), this remains more likely a value trap than a turnaround.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Return to profitability — Q2 2026 net loss narrowed to RMB 82M from RMB 594M a year earlier, and analysts project $0.89 EPS for FY2026, which if achieved would mark a fundamental inflection [1]</w:t>
      </w:r>
    </w:p>
    <w:p>
      <w:pPr>
        <w:spacing w:before="40" w:after="40"/>
        <w:ind w:left="283"/>
      </w:pPr>
      <w:r>
        <w:rPr>
          <w:rFonts w:ascii="Calibri" w:hAnsi="Calibri"/>
          <w:b/>
          <w:color w:val="4A6B25"/>
          <w:sz w:val="20"/>
        </w:rPr>
        <w:t xml:space="preserve">2. </w:t>
      </w:r>
      <w:r>
        <w:rPr>
          <w:rFonts w:ascii="Calibri" w:hAnsi="Calibri"/>
          <w:b w:val="0"/>
          <w:color w:val="3A4A28"/>
          <w:sz w:val="20"/>
        </w:rPr>
        <w:t>Consumer finance growth — new consumer finance loan sales surged 27.6% in Q2 2026, suggesting the pivot toward higher-growth consumer lending is gaining traction and could offset legacy credit facilitation decline [1]</w:t>
      </w:r>
    </w:p>
    <w:p>
      <w:pPr>
        <w:spacing w:before="40" w:after="40"/>
        <w:ind w:left="283"/>
      </w:pPr>
      <w:r>
        <w:rPr>
          <w:rFonts w:ascii="Calibri" w:hAnsi="Calibri"/>
          <w:b/>
          <w:color w:val="4A6B25"/>
          <w:sz w:val="20"/>
        </w:rPr>
        <w:t xml:space="preserve">3. </w:t>
      </w:r>
      <w:r>
        <w:rPr>
          <w:rFonts w:ascii="Calibri" w:hAnsi="Calibri"/>
          <w:b w:val="0"/>
          <w:color w:val="3A4A28"/>
          <w:sz w:val="20"/>
        </w:rPr>
        <w:t>CEO Xiang Ji (retail credit and risk management specialist) could articulate a credible growth strategy following the February 2026 management overhaul, potentially unlocking institutional confidence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still declining at -11.3% YoY in H1 2026 with total income of RMB 12.5B — three consecutive years of contraction and a 65%+ decline from 2021 peak suggest structural impairment despite moderation [1]</w:t>
      </w:r>
    </w:p>
    <w:p>
      <w:pPr>
        <w:spacing w:before="40" w:after="40"/>
        <w:ind w:left="283"/>
      </w:pPr>
      <w:r>
        <w:rPr>
          <w:rFonts w:ascii="Calibri" w:hAnsi="Calibri"/>
          <w:b/>
          <w:color w:val="4A6B25"/>
          <w:sz w:val="20"/>
        </w:rPr>
        <w:t xml:space="preserve">2. </w:t>
      </w:r>
      <w:r>
        <w:rPr>
          <w:rFonts w:ascii="Calibri" w:hAnsi="Calibri"/>
          <w:b w:val="0"/>
          <w:color w:val="3A4A28"/>
          <w:sz w:val="20"/>
        </w:rPr>
        <w:t>Liquidity crisis threshold — avg daily volume of 876K shares × $1.18 = $1.03M barely clears the $1M floor; a stock decline below ~$1.14 or any volume reduction would trigger infrastructure zero-score [4]</w:t>
      </w:r>
    </w:p>
    <w:p>
      <w:pPr>
        <w:spacing w:before="40" w:after="40"/>
        <w:ind w:left="283"/>
      </w:pPr>
      <w:r>
        <w:rPr>
          <w:rFonts w:ascii="Calibri" w:hAnsi="Calibri"/>
          <w:b/>
          <w:color w:val="4A6B25"/>
          <w:sz w:val="20"/>
        </w:rPr>
        <w:t xml:space="preserve">3. </w:t>
      </w:r>
      <w:r>
        <w:rPr>
          <w:rFonts w:ascii="Calibri" w:hAnsi="Calibri"/>
          <w:b w:val="0"/>
          <w:color w:val="3A4A28"/>
          <w:sz w:val="20"/>
        </w:rPr>
        <w:t>China regulatory and geopolitical risk — evolving fintech regulations, data privacy laws, and consumer lending caps could further constrain operations, while ADR delisting risk under US-China tensions creates structural uncertainty for US-listed shares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Lufax's credit facilitation and consumer finance platform faces significant AI disruption risk from multiple directions. Chinese tech giants (Ant Group, Tencent/WeBank, JD Finance) deploy AI-powered lending and wealth management at massive scale with superior data advantages, distribution networks, and capital [2]. AI-driven credit underwriting is commoditizing the credit facilitation business that Lufax depends on, enabling competitors to process loans faster and with better risk assessment. AI-powered robo-advisory platforms are replacing traditional wealth management intermediation. Lufax's regulatory licenses and Ping An backing provide some moat, but the company is losing ground to better-capitalized competitors with superior AI capabilities. AI Opportunity (1/1): Lufax operates an AI Lab and has deployed AI tools for credit scoring, risk management, KYI prediction models, and facial recognition systems, with AI capabilities demonstrated at WAIC [2]. However, these deployments are defensive — maintaining competitiveness rather than generating new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Lufax Q2 2026 Financial Results — Total Income RMB 6.2B (-15.4% YoY), Net Loss RMB 82M (narrowed from RMB 594M), New Loan Sales +4.6%, Consumer Finance +27.6%, H1 2026 Income RMB 12.5B, September 2026</w:t>
      </w:r>
    </w:p>
    <w:p>
      <w:pPr>
        <w:spacing w:before="20" w:after="20"/>
        <w:ind w:left="170"/>
      </w:pPr>
      <w:r>
        <w:rPr>
          <w:rFonts w:ascii="Calibri" w:hAnsi="Calibri"/>
          <w:b/>
          <w:color w:val="4A6B25"/>
          <w:sz w:val="15"/>
        </w:rPr>
        <w:t xml:space="preserve">2. </w:t>
      </w:r>
      <w:r>
        <w:rPr>
          <w:rFonts w:ascii="Calibri" w:hAnsi="Calibri"/>
          <w:b w:val="0"/>
          <w:color w:val="3A4A28"/>
          <w:sz w:val="17"/>
        </w:rPr>
        <w:t>Lufax Leadership and AI — CEO Transition to Xiang Ji (April 2026), AI Lab, KYI Model, WAIC Presentations, Ping An Board Members Installed, February-April 2026</w:t>
      </w:r>
    </w:p>
    <w:p>
      <w:pPr>
        <w:spacing w:before="20" w:after="20"/>
        <w:ind w:left="170"/>
      </w:pPr>
      <w:r>
        <w:rPr>
          <w:rFonts w:ascii="Calibri" w:hAnsi="Calibri"/>
          <w:b/>
          <w:color w:val="4A6B25"/>
          <w:sz w:val="15"/>
        </w:rPr>
        <w:t xml:space="preserve">3. </w:t>
      </w:r>
      <w:r>
        <w:rPr>
          <w:rFonts w:ascii="Calibri" w:hAnsi="Calibri"/>
          <w:b w:val="0"/>
          <w:color w:val="3A4A28"/>
          <w:sz w:val="17"/>
        </w:rPr>
        <w:t>Lufax ESG Report 2024 — Four More Finance Strategy, FTSE ESG Low Carbon Select Index, Inclusive Finance Commitments,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LU Key Statistics: Stock Price $1.18, Forward P/E 6.14, D/E 89.06%, ROE -2.29%, Profit Margin -7.84%, Avg Volume 876K, Market Cap $1.02B,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