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LXEO</w:t>
      </w:r>
      <w:r>
        <w:rPr>
          <w:rFonts w:ascii="Calibri" w:hAnsi="Calibri"/>
          <w:b/>
          <w:color w:val="1A2010"/>
          <w:sz w:val="40"/>
        </w:rPr>
        <w:t xml:space="preserve">  Lexeo Therapeutics, Inc.</w:t>
      </w:r>
    </w:p>
    <w:p>
      <w:pPr>
        <w:spacing w:after="120"/>
      </w:pPr>
      <w:r>
        <w:rPr>
          <w:rFonts w:ascii="Calibri" w:hAnsi="Calibri"/>
          <w:b/>
          <w:color w:val="6E8450"/>
          <w:sz w:val="18"/>
        </w:rPr>
        <w:t>GROWTH SLEEVE · 2026-10-01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Lexeo Therapeutics, Inc. is a clinical-stage genetic medicine company focused on developing AAVrh10-based gene therapy candidates for hereditary cardiovascular diseases and APOE4-associated Alzheimer's disease. Lead programs include LX2006 (Friedreich ataxia cardiomyopathy, Phase 1/2) and LX2020 (PKP2 arrhythmogenic cardiomyopathy, Phase 1/2). Pre-revenue with H1 2026 net loss of $46.1M (improved from $58.8M in H1 2025). Cash position of $227.6M provides runway through 2028. Spun out of Weill Cornell Medicine, IPO'd November 2023, headquartered in New York City.</w:t>
      </w:r>
    </w:p>
    <w:p>
      <w:r>
        <w:rPr>
          <w:rFonts w:ascii="Calibri" w:hAnsi="Calibri"/>
          <w:b/>
          <w:color w:val="6E8450"/>
          <w:sz w:val="18"/>
        </w:rPr>
        <w:t>63 Employees · https://www.lexeotx.com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Lexeo has advanced from a Weill Cornell Medicine spinout to a clinical-stage company with two active Phase 1/2 programs (LX2006 for Friedreich ataxia, LX2020 for PKP2-ACM) and completed the SUNRISE-FA 2 pivotal trial design with FDA agreement via Type B meeting [1]. This is meaningful scientific execution, but no products have launched or generated revenue — the company is progressing through standard biotech development stages. AI Deployment (0/2): No evidence of AI-powered drug discovery tools or quantified AI-driven R&amp;D efficiencies; gene therapy development relies on traditional wet-lab and clinical trial approaches [4]. Market Share (0/2): Pre-revenue clinical-stage company with no commercial products and no market share; pursuing indications with high unmet need where no gene therapy competition currently exists [1]. Product Pipeline (2/2): Specific next-generation programs with regulatory milestones — LX2006 pivotal trial design (SUNRISE-FA 2) submitted to FDA, LX2020 in Phase 1/2 for PKP2-ACM, preclinical LX2021 (Cx43 cardiomyopathy) and LX2022 (TNNI3 HCM), plus a strategic partnership for novel cardiac RNA therapeutics providing additional modality breadth [1][2][3]. R&amp;D Intensity (1/1): As a clinical-stage biotech, essentially 100% of spending is R&amp;D-directed — Q1 2026 R&amp;D expense of $15.7M was the dominant cost component, well above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Lexeo's focus on 'targeting the underlying genetic causes of cardiovascular diseases' reflects genuine intentionality — the company pursues devastating inherited conditions (Friedreich ataxia, PKP2 cardiomyopathy) that currently have no treatment options, connecting its work to a deeply specific, life-saving purpose [4]. The Weill Cornell origin and dedication to genetic cardiovascular medicine differentiates Lexeo from broader gene therapy peers. The cause is specific, thoughtful, and clearly shapes strategic decisions, though it has not been tested through decades of execution. Community Impact (0/2): No evidence of charitable programs or community investment beyond the inherent social value of developing rare disease treatments; the company is focused on clinical survival. Employee Retention (1/2): CEO R. Nolan Townsend has led since 2020 (6 years), providing stable leadership. Recent key executive hires include Dr. Narinder Bhalla (CMO, from AstraZeneca/BMS) and Jose Manuel Otero (COO), demonstrating ability to attract top pharma talent [3]. The 63-person team suggests focused cohesion, though no specific retention data is available. Insider Buying (0/2): Recent insider activity shows net selling — CEO Townsend sold shares to cover RSU tax obligations, and CFO also sold shares for tax coverage [5]. No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pre-revenue clinical-stage biotech. D/E of 2.9% reflects minimal debt against $211.7M cash and $6.8M total debt — well below the 70% target (score 1.0, 1x weight). ROE of -46.8% is deeply negative from ongoing clinical-stage losses of ~$100M annually (score 0.0, 2x weight). Revenue growth YoY, revenue growth 5yr CAGR, forward P/E, profit margin, and forward PEG are all excluded as unavailable/meaningless for a pre-revenue biotech — zero revenue makes these metrics incalculable [5]. Scoring on available metrics only: weighted sum 1.0/3 = 3. The $227.6M cash position provides operational runway through 2028, eliminating near-term dilution risk [1]. Daily dollar volume of ~$3.6M (1.06M shares x $3.38) provides adequate liquidity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Lexeo operates with a largely finite mindset typical of clinical-stage biotechs, but with a more genuine purpose than most. The company's cause — treating devastating genetic cardiovascular diseases that currently have no treatment — is deeply meaningful and shapes every strategic decision. However, the organizational structure is built around binary clinical trial outcomes, FDA approval milestones, and cash runway management rather than enduring institutional capability. Too young (founded 2017) and too small (63 employees) to have been tested through crisis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Lexeo's purpose of developing gene therapies for devastating genetic cardiovascular diseases connects to a deeply compelling cause — these are patients with inherited conditions causing cardiomyopathy and sudden death who currently have zero treatment options [4]. The Weill Cornell Medicine origin, the focus on genetic root causes rather than symptom management, and the specific targeting of Friedreich ataxia and PKP2-ACM demonstrate a genuine vision of a future where these diseases are treatable. This is more than standard biotech purpose — it's a specific, validated commitment. However, the company is only 9 years old and has not been tested through the kind of existential crisis that validates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Townsend's 6-year tenure and successful recruitment of senior leaders from AstraZeneca and BMS suggest a stable, talent-attracting organization [3]. The 63-person team and scientific mission likely create strong internal cohesion. CEO describes an 'accumulating talent bench' with leaders who have 'overseen some of the most transformative clinical development programs.' However, no specific retention data, employee survey results, or evidence of exceptional trust practices are publicly available for this small startup.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Lexeo's leadership acknowledging gene therapy competitors' strengths or framing competition as an opportunity to improve. Public communications focus on Lexeo's unique AAVrh10 platform and the unmet need in target indications, positioning itself as a pioneer rather than engaging with the competitive landscape of gene therapy peers [4].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Lexeo has not faced a strategic test requiring transformative flexibility. The company has expanded from APOE4-Alzheimer's gene therapy (LX1001) into cardiovascular diseases and added an RNA therapeutics partnership, demonstrating modest breadth [1][3]. But the company's identity and value remain tightly coupled to its current AAV gene therapy pipeline — a failed pivotal trial could be existential, and it remains unclear whether the organization could pivot to an entirely new modality.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gene therapy for rare cardiovascular diseases inherently requires courage — clinical timelines are 5-10+ years, failure rates exceed 90% for biotech overall, and capital requirements are enormous relative to company size [1]. Advancing the SUNRISE-FA 2 pivotal trial design through FDA Type B meeting represents a significant commitment. However, this follows the standard biotech development model rather than representing an unusual sacrifice of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Lexeo Therapeutics offers high-risk, high-reward optionality in gene therapy for cardiovascular genetic diseases with significant unmet need. The lead program LX2006 for Friedreich ataxia cardiomyopathy has reached a critical regulatory inflection — the SUNRISE-FA 2 pivotal trial design and statistical analysis plan were submitted to FDA following a Type B meeting, de-risking the pathway to potential registration [1]. The $227.6M cash position as of March 31, 2026 provides runway through 2028, eliminating near-term dilution concerns [1]. LX2020 for PKP2 cardiomyopathy, preclinical programs in Cx43 and TNNI3 cardiomyopathies, and a novel cardiac RNA therapeutics partnership provide additional pipeline optionality. If SUNRISE-FA 2 succeeds, the addressable patient population and rare disease pricing power could justify a multi-billion dollar valuation against the current $277M market cap [5].</w:t>
      </w:r>
    </w:p>
    <w:p>
      <w:pPr>
        <w:spacing w:after="120"/>
      </w:pPr>
      <w:r>
        <w:rPr>
          <w:rFonts w:ascii="Calibri" w:hAnsi="Calibri"/>
          <w:b w:val="0"/>
          <w:color w:val="3A4A28"/>
          <w:sz w:val="20"/>
        </w:rPr>
        <w:t>The bear case is binary clinical risk compounded by inherent gene therapy challenges. Lexeo has zero revenue and is burning approximately $92M annually ($46.1M H1 2026 net loss), making the stock entirely dependent on clinical data readouts with historically high failure rates [1]. The stock has declined from its IPO to $3.38, reflecting market skepticism about clinical-stage gene therapy companies. Gene therapy manufacturing at commercial scale remains an unsolved industry challenge — AAV vector production is expensive, capacity-constrained, and subject to potency variability. Insider selling by CEO and CFO (for tax obligations on RSUs) does not signal strong insider conviction at current prices [5]. Even a successful pivotal trial faces a long path to commercialization, and the company's 63-employee team will need significant scaling to support a commercial launch. The $277M market cap means the stock is subject to micro-cap volatility and limited institutional support.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SUNRISE-FA 2 pivotal trial initiation and enrollment progress for LX2006 in Friedreich ataxia cardiomyopathy, with FDA agreement on registrational design providing a clear regulatory pathway [1]</w:t>
      </w:r>
    </w:p>
    <w:p>
      <w:pPr>
        <w:spacing w:before="40" w:after="40"/>
        <w:ind w:left="283"/>
      </w:pPr>
      <w:r>
        <w:rPr>
          <w:rFonts w:ascii="Calibri" w:hAnsi="Calibri"/>
          <w:b/>
          <w:color w:val="4A6B25"/>
          <w:sz w:val="20"/>
        </w:rPr>
        <w:t xml:space="preserve">2. </w:t>
      </w:r>
      <w:r>
        <w:rPr>
          <w:rFonts w:ascii="Calibri" w:hAnsi="Calibri"/>
          <w:b w:val="0"/>
          <w:color w:val="3A4A28"/>
          <w:sz w:val="20"/>
        </w:rPr>
        <w:t>Clinical data readouts from LX2020 in PKP2 arrhythmogenic cardiomyopathy could validate the cardiovascular gene therapy platform and unlock additional pipeline value [1][3]</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on novel cardiac RNA therapeutics potentially diversifying the technology platform beyond AAV gene therapy and attracting a larger pharmaceutical partner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pivotal trial risk: SUNRISE-FA 2 failure would eliminate the primary source of value, with historical biotech pivotal trial success rates below 50% and gene therapy facing additional manufacturing and safety challenges [1]</w:t>
      </w:r>
    </w:p>
    <w:p>
      <w:pPr>
        <w:spacing w:before="40" w:after="40"/>
        <w:ind w:left="283"/>
      </w:pPr>
      <w:r>
        <w:rPr>
          <w:rFonts w:ascii="Calibri" w:hAnsi="Calibri"/>
          <w:b/>
          <w:color w:val="4A6B25"/>
          <w:sz w:val="20"/>
        </w:rPr>
        <w:t xml:space="preserve">2. </w:t>
      </w:r>
      <w:r>
        <w:rPr>
          <w:rFonts w:ascii="Calibri" w:hAnsi="Calibri"/>
          <w:b w:val="0"/>
          <w:color w:val="3A4A28"/>
          <w:sz w:val="20"/>
        </w:rPr>
        <w:t>Cash runway through 2028 provides limited margin for trial delays, manufacturing issues, or clinical holds — any significant setback could force dilutive financing at severely depressed share prices ($3.38 vs 52-week high) [5]</w:t>
      </w:r>
    </w:p>
    <w:p>
      <w:pPr>
        <w:spacing w:before="40" w:after="40"/>
        <w:ind w:left="283"/>
      </w:pPr>
      <w:r>
        <w:rPr>
          <w:rFonts w:ascii="Calibri" w:hAnsi="Calibri"/>
          <w:b/>
          <w:color w:val="4A6B25"/>
          <w:sz w:val="20"/>
        </w:rPr>
        <w:t xml:space="preserve">3. </w:t>
      </w:r>
      <w:r>
        <w:rPr>
          <w:rFonts w:ascii="Calibri" w:hAnsi="Calibri"/>
          <w:b w:val="0"/>
          <w:color w:val="3A4A28"/>
          <w:sz w:val="20"/>
        </w:rPr>
        <w:t>Gene therapy manufacturing scale-up risk: AAV vector production at commercial scale remains an industry-wide challenge, and Lexeo's 63-person team has not demonstrated commercial manufacturing capability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Lexeo's core business — developing AAVrh10 gene therapy vectors for cardiovascular genetic diseases — involves physical wet-lab research, viral vector manufacturing, clinical trial execution, and FDA regulatory navigation that AI cannot substitute [1][4]. Gene therapy manufacturing (AAV production, quality control, patient dosing) requires highly specialized biological processes and regulatory oversight structurally protected from AI disruption. However, AI tools are accelerating drug discovery across biotech, potentially enabling competitors to design competing gene therapy candidates faster and reducing Lexeo's first-mover advantage in indications like Friedreich ataxia cardiomyopathy. AI Opportunity (0/1): No AI-generated revenue; the company has not announced AI-powered drug discovery tools or quantified AI-driven R&amp;D efficiency gains, though the broader gene therapy field is beginning to adopt AI for vector design and manufacturing optimization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Lexeo Therapeutics Q1 and Q2 2026 Financial Results — Investor Relations, NASDAQ,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Lexeo Therapeutics H1 2026 10-Q Filing — SEC,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Lexeo Therapeutics Leadership Appointments and Strategic Partnerships — Investor Relations, Barchart, TipRanks, 2026</w:t>
      </w:r>
    </w:p>
    <w:p>
      <w:pPr>
        <w:spacing w:before="20" w:after="20"/>
        <w:ind w:left="170"/>
      </w:pPr>
      <w:r>
        <w:rPr>
          <w:rFonts w:ascii="Calibri" w:hAnsi="Calibri"/>
          <w:b/>
          <w:color w:val="4A6B25"/>
          <w:sz w:val="15"/>
        </w:rPr>
        <w:t xml:space="preserve">4. </w:t>
      </w:r>
      <w:r>
        <w:rPr>
          <w:rFonts w:ascii="Calibri" w:hAnsi="Calibri"/>
          <w:b w:val="0"/>
          <w:color w:val="3A4A28"/>
          <w:sz w:val="17"/>
        </w:rPr>
        <w:t>Lexeo Therapeutics Company Profile and Pipeline — lexeotx.com, Tracxn, Crunchbase,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LXEO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