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LX</w:t>
      </w:r>
      <w:r>
        <w:rPr>
          <w:rFonts w:ascii="Calibri" w:hAnsi="Calibri"/>
          <w:b/>
          <w:color w:val="1A2010"/>
          <w:sz w:val="40"/>
        </w:rPr>
        <w:t xml:space="preserve">  LexinFintech Holdings Ltd.</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NASDAQ · China</w:t>
      </w:r>
    </w:p>
    <w:p>
      <w:pPr>
        <w:spacing w:after="80"/>
      </w:pPr>
      <w:r>
        <w:rPr>
          <w:rFonts w:ascii="Calibri" w:hAnsi="Calibri"/>
          <w:b w:val="0"/>
          <w:color w:val="3A4A28"/>
          <w:sz w:val="20"/>
        </w:rPr>
        <w:t>LexinFintech Holdings Ltd. is a Chinese fintech company providing online consumer finance services primarily to young adults through its Fenqile installment e-commerce platform and technology-empowerment services to financial institution partners. The AI-driven risk management engine processes 98% of loan applications automatically. Q1 2026 revenue of RMB3.31B (+6.6% YoY) but Q2 saw net profit down 36% YoY despite 19% revenue growth, and management warns Q3 2026 loan originations will decrease significantly with a potential net loss. Stock has fallen 75%+ over the past year to $0.75 per ADR amid regulatory tightening and credit concerns. Market cap ~$123M.</w:t>
      </w:r>
    </w:p>
    <w:p>
      <w:r>
        <w:rPr>
          <w:rFonts w:ascii="Calibri" w:hAnsi="Calibri"/>
          <w:b/>
          <w:color w:val="6E8450"/>
          <w:sz w:val="18"/>
        </w:rPr>
        <w:t>3,500 Employees · https://www.lexinfintech.com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LexinFintech has evolved from a pure consumer lending platform into a diversified fintech model, with tech-empowerment service income growing 55.3% YoY to RMB830M in 2025, representing meaningful revenue diversification [1]. However, the core business of online consumer lending has not fundamentally changed since founding in 2013, and the company is now shrinking — TTM revenue declined 11.2% with management warning of significant Q3 origination decreases [2]. AI Deployment (2/2): LexinFintech has optimized 50+ operational roles with AI agents spanning credit strategy, automated monitoring, customer service, and risk management. The AI-driven risk engine handles 98% of loan applications automatically within seconds — this is a core AI product shipping at massive scale to millions of users [3]. Market Share (1/2): A meaningful participant in China's online consumer finance market serving the young adult demographic, with cumulative loan originations in the hundreds of billions of RMB. However, Ant Financial, JD Finance, and other larger platforms dominate the broader fintech landscape, and LexinFintech's declining originations suggest share erosion [2]. Product Pipeline (0/2): No specific next-generation products announced. Q3 2026 guidance calls for significant loan origination decrease and a potential net loss, indicating contraction rather than pipeline growth [2]. The company provides no forward product roadmap visibility. R&amp;D Intensity (1/1): As a technology-first fintech company, R&amp;D investment in AI and machine learning infrastructure is above industry average for Chinese consumer lenders, supporting the automated decisioning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LexinFintech's mission of financial inclusion for underserved young adults in China is clear and connects consumer lending to the broader purpose of enabling credit access for demographics traditionally excluded from mainstream banking [4]. The mission identifies what the company does and for whom, but operates within a controversial industry (high-interest consumer lending to young people) where the social impact is debatable. The mission has not been tested through decades of execution. Community Impact (1/2): LexinFintech received the Wealth and Society Corporate Commitment Certificate from The Asian Banker recognizing ESG efforts including support for small and micro business owners [5]. General recognition without specific program details or dollar amounts. The financial inclusion mission itself provides some community value. Employee Retention (0/2): No specific employee retention data, turnover rates, or tenure metrics are publicly available for LexinFintech's approximately 3,500 employees. The hiring of a CRO from Ant Group (Zhanwen Qiao) suggests the company can attract experienced talent from top-tier Chinese fintechs [3]. Insider Buying (0/2): CEO Jay Wenjie Xiao committed to a 30% payout ratio and launched a $50M share repurchase program, but these are corporate capital return policies rather than personal insider buying [1]. No evidence of meaningful personal share purchases by executives at the deeply depressed stock price ($0.75).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standout is the absurdly low Forward P/E of 1.21, which scores 1.0 but reflects deep market distrust of Chinese ADRs amid regulatory tightening, VIE structural risk, and deteriorating credit quality rather than genuine value [6]. D/E of 30.8% is well below the 70% target, indicating conservative leverage. ROE of 8.8% is below the 15% target but positive, scoring 0.587 (2x weight for growth stocks). Revenue growth of -11.2% TTM is well below the 10% target, scoring 0.293 — a significant deterioration from Q1 2026's +6.6% as macro headwinds intensify [2]. Profit margin of 8.0% scores 0.40, reflecting profitability that is under severe pressure with Q3 anticipated net loss. Revenue 5yr CAGR and PEG unavailable, excluded. Weighted sum: 3.87/6.0 available weight units = 6.44, rounds to 6. The mechanical score overstates financial health — the P/E distortion from country/regulatory risk discounting artificially inflates the Infrastructure score. Liquidity floor cleared at ~$2.6M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LexinFintech operates with a predominantly finite mindset driven by regulatory survival and quarterly performance targets. The pivot from pure consumer lending to tech-empowerment was forced by Chinese regulatory tightening rather than cause-driven transformation. The Q3 2026 guidance warning of significant origination decline and potential net loss reveals a company in reactive survival mode, not playing the infinite game. While the financial inclusion mission is genuine and AI deployment is impressive, strategic decisions are dictated by regulatory compliance and near-term profitability rather than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Financial inclusion for young adults in China is a reasonable purpose that connects lending to broader social impact [4]. However, high-interest consumer lending to young people is a morally ambiguous business model, and the company's strategic shifts have been driven by Chinese regulatory mandates rather than cause-driven conviction. Founded in 2013, the company is too young and too buffeted by external regulatory forces to have proven a genuine Just Cause through adversity. The anticipated Q3 net loss and origination decline suggest the company is in survival mode, not cause-driven mode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LexinFintech's approximately 3,500 employees operate in a technology-focused culture with CEO Jay Xiao maintaining consistent leadership since founding in 2013. The ability to recruit a CRO from Ant Group (China's largest fintech) suggests the company's culture is sufficiently attractive to draw experienced talent [3]. No major cultural controversies, mass layoffs, or employee disputes have been publicly reported. However, no specific data on employee retention, tenure, or satisfaction metrics is available for a Chinese company without Glassdoor equivalent.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LexinFintech's management publicly acknowledges learning from larger competitors like Ant Financial, JD Finance, or WeBank. The company positions itself as serving the young adult niche rather than engaging with what larger rivals do better. The competitive language is about market positioning, not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LexinFintech adapted its business model from pure consumer lending to a diversified platform incorporating tech-empowerment services (55.3% growth), installment e-commerce, and financial institution technology partnerships [1]. This evolution was partly forced by Chinese regulatory changes but demonstrated genuine adaptability. However, the core of the business remains consumer lending, and the current deterioration (revenue -11.2%, anticipated Q3 loss) suggests the adaptation has not been sufficient to achieve sustainability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pivot from pure consumer lending to technology-empowerment required meaningful business model restructuring and investment in new capabilities [1]. The appointment of CRO Zhanwen Qiao from Ant Group demonstrates willingness to invest in risk management capability during a challenging period [3]. The commitment to 30% dividend payout and $50M buyback program signals shareholder alignment, though paying dividends when anticipating a Q3 net loss raises questions about capital allocation discipline. The decision to increase provisions for credit risk despite earnings hits shows willingness to absorb short-term pain for balance sheet health.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LexinFintech offers extreme deep value at a trailing P/E of 0.84 and Forward P/E of 1.21, trading at $0.75 per ADR with a market cap of just $123M against TTM revenue in the billions of RMB [6]. The AI-powered risk management engine processing 98% of applications automatically and the tech-empowerment business growing 55.3% demonstrate genuine technology capability [1][3]. D/E of 30.8% is conservatively leveraged for a lending platform. Q2 2026 saw revenue up 19% YoY with the company doubling profits sequentially, and the declared dividend signals management confidence in underlying cash generation. A recovery in Chinese consumer confidence and regulatory normalization could drive significant earnings upside from deeply depressed levels, with analyst estimates suggesting 9% EPS growth per annum if conditions stabilize.</w:t>
      </w:r>
    </w:p>
    <w:p>
      <w:pPr>
        <w:spacing w:after="120"/>
      </w:pPr>
      <w:r>
        <w:rPr>
          <w:rFonts w:ascii="Calibri" w:hAnsi="Calibri"/>
          <w:b w:val="0"/>
          <w:color w:val="3A4A28"/>
          <w:sz w:val="20"/>
        </w:rPr>
        <w:t>The risks are formidable and justify the extreme valuation discount. Management warned Q3 2026 loan originations will 'decrease significantly' QoQ and the company 'may incur a net loss for the quarter' — a stark deterioration from the preceding quarters [2]. Chinese regulatory risk is elevated with ongoing tightening of online lending rules, stricter leverage limits, fee caps, and funding partner whitelisting requirements that further constrain LexinFintech's operating model [2]. The ADR VIE structure exposes investors to PRC policy shifts and contract enforceability risks — VIEs generated 78.9% of 2025 revenue, and a future reversal of PCAOB inspections could trigger HFCAA trading prohibitions [5]. EPS growth of -79.0% YoY reflects severe earnings deterioration, and the stock's 75%+ decline over the past year signals deep market skepticism about Chinese consumer credit conditions [6]. The $123M market cap and sub-$1 stock price place the ADR in penny stock territory with limited institutional ownership and analyst coverage. The Inspire Impact Score of 0 (MIXED) with no positive or negative attributions reflects limited ESG data availability for Chinese fintechs.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Chinese consumer confidence recovery driving loan origination stabilization and revenue growth reversal from the -11.2% TTM decline, which would validate the extreme P/E discount and re-rate the stock</w:t>
      </w:r>
    </w:p>
    <w:p>
      <w:pPr>
        <w:spacing w:before="40" w:after="40"/>
        <w:ind w:left="283"/>
      </w:pPr>
      <w:r>
        <w:rPr>
          <w:rFonts w:ascii="Calibri" w:hAnsi="Calibri"/>
          <w:b/>
          <w:color w:val="4A6B25"/>
          <w:sz w:val="20"/>
        </w:rPr>
        <w:t xml:space="preserve">2. </w:t>
      </w:r>
      <w:r>
        <w:rPr>
          <w:rFonts w:ascii="Calibri" w:hAnsi="Calibri"/>
          <w:b w:val="0"/>
          <w:color w:val="3A4A28"/>
          <w:sz w:val="20"/>
        </w:rPr>
        <w:t>Tech-empowerment revenue continuing its 55% growth trajectory and reaching sufficient scale to diversify away from consumer lending credit risk exposure [1]</w:t>
      </w:r>
    </w:p>
    <w:p>
      <w:pPr>
        <w:spacing w:before="40" w:after="40"/>
        <w:ind w:left="283"/>
      </w:pPr>
      <w:r>
        <w:rPr>
          <w:rFonts w:ascii="Calibri" w:hAnsi="Calibri"/>
          <w:b/>
          <w:color w:val="4A6B25"/>
          <w:sz w:val="20"/>
        </w:rPr>
        <w:t xml:space="preserve">3. </w:t>
      </w:r>
      <w:r>
        <w:rPr>
          <w:rFonts w:ascii="Calibri" w:hAnsi="Calibri"/>
          <w:b w:val="0"/>
          <w:color w:val="3A4A28"/>
          <w:sz w:val="20"/>
        </w:rPr>
        <w:t>Regulatory stabilization as China balances fintech oversight with consumer credit access needs, potentially easing the tightening cycle that has driven the stock down 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guidance warning of 'significant' loan origination decrease and potential net loss signals acute business deterioration beyond cyclical softness, raising concerns about the sustainability of the consumer lending model [2]</w:t>
      </w:r>
    </w:p>
    <w:p>
      <w:pPr>
        <w:spacing w:before="40" w:after="40"/>
        <w:ind w:left="283"/>
      </w:pPr>
      <w:r>
        <w:rPr>
          <w:rFonts w:ascii="Calibri" w:hAnsi="Calibri"/>
          <w:b/>
          <w:color w:val="4A6B25"/>
          <w:sz w:val="20"/>
        </w:rPr>
        <w:t xml:space="preserve">2. </w:t>
      </w:r>
      <w:r>
        <w:rPr>
          <w:rFonts w:ascii="Calibri" w:hAnsi="Calibri"/>
          <w:b w:val="0"/>
          <w:color w:val="3A4A28"/>
          <w:sz w:val="20"/>
        </w:rPr>
        <w:t>Chinese regulatory tightening through stricter leverage limits, fee caps, and funding partner whitelisting requirements constraining LexinFintech's ability to originate and monetize consumer loans — the regulatory environment remains unpredictable [2]</w:t>
      </w:r>
    </w:p>
    <w:p>
      <w:pPr>
        <w:spacing w:before="40" w:after="40"/>
        <w:ind w:left="283"/>
      </w:pPr>
      <w:r>
        <w:rPr>
          <w:rFonts w:ascii="Calibri" w:hAnsi="Calibri"/>
          <w:b/>
          <w:color w:val="4A6B25"/>
          <w:sz w:val="20"/>
        </w:rPr>
        <w:t xml:space="preserve">3. </w:t>
      </w:r>
      <w:r>
        <w:rPr>
          <w:rFonts w:ascii="Calibri" w:hAnsi="Calibri"/>
          <w:b w:val="0"/>
          <w:color w:val="3A4A28"/>
          <w:sz w:val="20"/>
        </w:rPr>
        <w:t>ADR VIE structure risk with 78.9% of revenue from VIE entities, PCAOB/HFCAA delisting exposure, and sub-$1 stock price creating existential structural and liquidity risks for US-listed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Online consumer lending is directly exposed to AI disruption — AI can automate credit underwriting, customer service, collections, and risk management, which constitute LexinFintech's core value propositions [3]. Larger technology platforms like Ant Financial and JD Finance have superior AI capabilities, data advantages, and regulatory positioning. However, LexinFintech has been proactive in deploying AI across 50+ operational roles with its risk engine processing 98% of applications automatically, and Chinese regulatory barriers (fintech licensing, data privacy requirements, funding partner whitelisting) provide some structural protection against new AI-native entrants [2]. The outcome remains uncertain as the company both benefits from and is threatened by AI advancement in the competitive Chinese fintech landscape. AI Opportunity (1/1): LexinFintech generates quantifiable revenue from AI-powered services — the entire lending platform relies on AI for credit decisioning, risk management, and customer matching, and the tech-empowerment business providing AI tools to financial institution partners grew 55.3% in 2025 [1]. AI is not a side project — it IS the core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LexinFintech FY2025 and AI Strategy — Revenue RMB13.2B (-7.4%), Tech-Empowerment +55.3% to RMB830M, 50+ AI-Optimized Roles, $50M Buyback, 30% Payout, 2025-2026</w:t>
      </w:r>
    </w:p>
    <w:p>
      <w:pPr>
        <w:spacing w:before="20" w:after="20"/>
        <w:ind w:left="170"/>
      </w:pPr>
      <w:r>
        <w:rPr>
          <w:rFonts w:ascii="Calibri" w:hAnsi="Calibri"/>
          <w:b/>
          <w:color w:val="4A6B25"/>
          <w:sz w:val="15"/>
        </w:rPr>
        <w:t xml:space="preserve">2. </w:t>
      </w:r>
      <w:r>
        <w:rPr>
          <w:rFonts w:ascii="Calibri" w:hAnsi="Calibri"/>
          <w:b w:val="0"/>
          <w:color w:val="3A4A28"/>
          <w:sz w:val="17"/>
        </w:rPr>
        <w:t>LexinFintech Q1-Q2 2026 Earnings and Q3 Guidance — Q1 Revenue RMB3.31B (+6.6%), Q2 Revenue +19%, Q3 Warning of Significant Origination Decrease and Potential Net Loss, Regulatory Headwinds Intensifying</w:t>
      </w:r>
    </w:p>
    <w:p>
      <w:pPr>
        <w:spacing w:before="20" w:after="20"/>
        <w:ind w:left="170"/>
      </w:pPr>
      <w:r>
        <w:rPr>
          <w:rFonts w:ascii="Calibri" w:hAnsi="Calibri"/>
          <w:b/>
          <w:color w:val="4A6B25"/>
          <w:sz w:val="15"/>
        </w:rPr>
        <w:t xml:space="preserve">3. </w:t>
      </w:r>
      <w:r>
        <w:rPr>
          <w:rFonts w:ascii="Calibri" w:hAnsi="Calibri"/>
          <w:b w:val="0"/>
          <w:color w:val="3A4A28"/>
          <w:sz w:val="17"/>
        </w:rPr>
        <w:t>LexinFintech Leadership and Technology — CEO Jay Wenjie Xiao, CRO Zhanwen Qiao (ex-Ant Group), 98% Automated Risk Engine, AI Agent Deployment Across Operations</w:t>
      </w:r>
    </w:p>
    <w:p>
      <w:pPr>
        <w:spacing w:before="20" w:after="20"/>
        <w:ind w:left="170"/>
      </w:pPr>
      <w:r>
        <w:rPr>
          <w:rFonts w:ascii="Calibri" w:hAnsi="Calibri"/>
          <w:b/>
          <w:color w:val="4A6B25"/>
          <w:sz w:val="15"/>
        </w:rPr>
        <w:t xml:space="preserve">4. </w:t>
      </w:r>
      <w:r>
        <w:rPr>
          <w:rFonts w:ascii="Calibri" w:hAnsi="Calibri"/>
          <w:b w:val="0"/>
          <w:color w:val="3A4A28"/>
          <w:sz w:val="17"/>
        </w:rPr>
        <w:t>LexinFintech Corporate Mission — Financial Inclusion for Young Adults in China, Fenqile Platform, Consumer Finance Ecosystem</w:t>
      </w:r>
    </w:p>
    <w:p>
      <w:pPr>
        <w:spacing w:before="20" w:after="20"/>
        <w:ind w:left="170"/>
      </w:pPr>
      <w:r>
        <w:rPr>
          <w:rFonts w:ascii="Calibri" w:hAnsi="Calibri"/>
          <w:b/>
          <w:color w:val="4A6B25"/>
          <w:sz w:val="15"/>
        </w:rPr>
        <w:t xml:space="preserve">5. </w:t>
      </w:r>
      <w:r>
        <w:rPr>
          <w:rFonts w:ascii="Calibri" w:hAnsi="Calibri"/>
          <w:b w:val="0"/>
          <w:color w:val="3A4A28"/>
          <w:sz w:val="17"/>
        </w:rPr>
        <w:t>LexinFintech ADR/VIE Risk — 78.9% of Revenue from VIE Entities, PCAOB/HFCAA Delisting Exposure, Cayman Holdings Structure, Seeking Alpha/SEC Filings</w:t>
      </w:r>
    </w:p>
    <w:p>
      <w:pPr>
        <w:spacing w:before="20" w:after="20"/>
        <w:ind w:left="170"/>
      </w:pPr>
      <w:r>
        <w:rPr>
          <w:rFonts w:ascii="Calibri" w:hAnsi="Calibri"/>
          <w:b/>
          <w:color w:val="4A6B25"/>
          <w:sz w:val="15"/>
        </w:rPr>
        <w:t xml:space="preserve">6. </w:t>
      </w:r>
      <w:r>
        <w:rPr>
          <w:rFonts w:ascii="Calibri" w:hAnsi="Calibri"/>
          <w:b w:val="0"/>
          <w:color w:val="3A4A28"/>
          <w:sz w:val="17"/>
        </w:rPr>
        <w:t>Yahoo Finance — LX Key Statistics: P/E 0.84, Forward P/E 1.21, D/E 30.8%, ROE 8.8%, Profit Margin 8.0%, Stock Price $0.75, Avg Volume 3.43M,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