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LYB</w:t>
      </w:r>
      <w:r>
        <w:rPr>
          <w:rFonts w:ascii="Calibri" w:hAnsi="Calibri"/>
          <w:b/>
          <w:color w:val="1A2010"/>
          <w:sz w:val="40"/>
        </w:rPr>
        <w:t xml:space="preserve">  LyondellBasell Industries N.V.</w:t>
      </w:r>
    </w:p>
    <w:p>
      <w:pPr>
        <w:spacing w:after="120"/>
      </w:pPr>
      <w:r>
        <w:rPr>
          <w:rFonts w:ascii="Calibri" w:hAnsi="Calibri"/>
          <w:b/>
          <w:color w:val="6E8450"/>
          <w:sz w:val="18"/>
        </w:rPr>
        <w:t>DIVIDEND SLEEVE · 2026-10-15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NYQ · Netherlands</w:t>
      </w:r>
    </w:p>
    <w:p>
      <w:pPr>
        <w:spacing w:after="80"/>
      </w:pPr>
      <w:r>
        <w:rPr>
          <w:rFonts w:ascii="Calibri" w:hAnsi="Calibri"/>
          <w:b w:val="0"/>
          <w:color w:val="3A4A28"/>
          <w:sz w:val="20"/>
        </w:rPr>
        <w:t>LyondellBasell Industries is one of the world's largest plastics, chemicals, and refining companies — the largest producer of polypropylene and a top-three polyethylene producer. Operating across Olefins and Polyolefins (Americas and Europe/Asia), Intermediates and Derivatives, Advanced Polymer Solutions, and Technology segments. CEO Peter Vanacker is executing a strategic transformation: the Houston refinery was shut down in Q1 2025, European O&amp;P assets were divested in Q2 2026 (at a $734M loss), and the company cut its dividend by 50% in early 2026. Q1 2026 EBITDA was $568M ($615M adjusted) as petrochemical margins recovered from Middle East conflict supply disruptions removing ~6M tons of polyethylene capacity (20-25% of regional supply), not expected to restart before 2027.</w:t>
      </w:r>
    </w:p>
    <w:p>
      <w:r>
        <w:rPr>
          <w:rFonts w:ascii="Calibri" w:hAnsi="Calibri"/>
          <w:b/>
          <w:color w:val="6E8450"/>
          <w:sz w:val="18"/>
        </w:rPr>
        <w:t>18,970 Employees · https://www.lyondellbasell.com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LyondellBasell has not launched transformative new products; the business model remains centered on commodity polyolefins and intermediates with no meaningful product pivot in five years [1]. The Houston refinery shutdown (Q1 2025) removed a legacy asset, and the Q2 2026 divestiture of European O&amp;P assets at a $734M loss simplifies the portfolio, but these are restructuring actions, not innovation. MoReTec advanced recycling technology is under development but not yet generating revenue. AI Deployment (1/2): The company partnered with C3 AI for enterprise-wide AI/ML deployment to improve asset optimization, supply chain, and plant reliability, and Emerson's AI-driven automation modernization at the Wesseling complex demonstrates active efficiency deployment [2]. However, these are internal efficiency plays, not customer-facing AI products, and specific cost savings have not been publicly quantified. Market Share (1/2): LYB is the world's largest polypropylene producer and top-three polyethylene producer, maintaining commodity leadership. However, this is commodity leadership with limited pricing power — margin expansion has been driven by external supply disruptions from the Middle East conflict, not competitive gains [1]. Product Pipeline (1/2): MoReTec advanced recycling, the Circular &amp; Low Carbon Solutions (CLCS) business, and the Houston refinery site conversion to a 'Circular Hub' represent portfolio evolution, but the $1.5B Value Enhancement Program primarily targets EBITDA improvement through cost optimization, not product innovation [1]. R&amp;D Intensity (0/1): Over $350M annual R&amp;D is meaningful in absolute terms but approximately 1.2% of $31B revenue — below average for the chemical sector and insufficient for top-quartile classification.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LyondellBasell's stated purpose — 'To consistently deliver industry-leading performance by safely and reliably delivering high quality products to customers' — is generic and interchangeable with most chemical peers [3]. CEO Vanacker's 'Reinvention' thesis is a corporate strategy, not a purpose statement connecting the company's work to something larger. Community Impact (1/2): The 'Advancing Good' global corporate citizenship program operates across three pillars (Communities, Planet, Tomorrow's Workforce), and the company ties 20% of executive compensation to safety metrics and 10% to sustainability [3]. However, specific charitable giving dollar amounts are not publicly disclosed, and the Circular Hub conversion is drawing community opposition. Employee Retention (1/2): Glassdoor rating of 3.6/5 is industry average. Employees cite good compensation but flag deteriorating leadership culture and office politics. CHRO Trisha Conley was brought in as a 'disruptor' to drive culture change, implying recognized cultural issues [2]. Headcount declined 5.15% in 2025. Insider Buying (0/2): CEO Vanacker sold 20,000 shares at $53.57 in August 2025 with zero purchases in the past year — net insider selling signals limited executive conviction despite the stock trading near multi-year lows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132.76% scores 0.73 (1x weight), reflecting $14.3B total debt against $10.7B equity [4]. Forward P/E of 10.05 is deeply discounted (scoring 1.0, 1x weight), with forward EPS of $6.20 reflecting expected cyclical recovery from Middle East supply disruptions [1][4]. Revenue growth of 19.8% YoY scores 1.0 (1x weight), driven by petrochemical margin recovery. Revenue 5yr CAGR of ~1.7% scores 0.45 (1x weight), reflecting the massive decline from $50.5B (FY2022) peak. ROE of -2.27% (score 0.0, 1x weight) and profit margin of -1.13% (score 0.0, 1x weight) remain negative on a trailing basis, driven by the $734M European asset divestiture charge [1]. Forward payout ratio of ~35% ($2.76 div / ~$8.00 forward EPS) scores 1.0 (1x weight). The critical dividend weakness: the 50% cut (from $1.37 to $0.69/quarter) broke the 14-year growth streak — consecutive years growth scores 0.0 (1x weight), and 5yr dividend growth CAGR of approximately -8% scores 0.0 (2x weight) [4]. Consecutive years paid remains ~15 (1.0, 2x weight). Weighted sum: 6.18/12 = 5.1. Liquidity floor cleared: $62.30 x 3.9M avg vol = $241M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LyondellBasell plays a largely finite game despite some strategic evolution. The Houston refinery shutdown, European O&amp;P divestiture at a $734M loss, and investment in MoReTec circular plastics show long-term thinking about portfolio transformation. However, the 50% dividend cut, CEO selling shares with no purchases, cost-optimization focus ($1.5B VEP), and reliance on Middle East supply disruptions for margin recovery reveal a company managing cyclical distress through finite-game tactics. The stated purpose of 'industry-leading performance' is quintessentially about winning, not about advancing an enduring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LyondellBasell's stated purpose of 'consistently delivering industry-leading performance' is quintessentially finite — it describes winning, not advancing a cause [3]. CEO Vanacker's 'Reinvention' thesis and the emerging circular plastics vision through MoReTec hint at a deeper purpose around sustainability, and the Houston refinery closure reduced GHG by ~3M metric tons. But this has not been elevated to a company-defining Just Cause — the 50% dividend cut and $1.5B Value Enhancement Program communicate financial survival, not purpose-driven transformation.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3.6/5 reveals adequate but unremarkable trust. Employees cite good compensation and collaboration at lower levels, but flag deteriorating leadership culture and office politics [2]. The hiring of a CHRO specifically described as a 'disruptor' confirms recognized cultural issues. Headcount declined 5.15% in 2025. Safety prioritization (20% of exec comp) is a positive trust indicator.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LyondellBasell's competitive language focuses on North American feedstock cost advantages and market share leadership rather than learning from rivals. Management emphasizes 'competitive advantages' and 'industry-leading performance' rather than acknowledging where SABIC, Dow, or BASF excel [1]. The Middle East supply disruption windfall is framed as a competitive advantage rather than an industry dynamic to learn from.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transformation — shutting down the Houston refinery, divesting four European assets at a $734M loss, investing in MoReTec advanced recycling, and converting the refinery site to a Circular Hub — represents meaningful portfolio evolution [1]. CEO Vanacker's strategy to simplify and refocus the company from commodity petrochemicals toward circular economy is credible. However, these are incremental adaptations within the chemicals industry, not transformative reinvention — LyondellBasell remains fundamentally a commodity polyolefins producer.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Vanacker cut the dividend 50% to preserve capital for the strategic transformation — a painful decision that broke a 14-year growth streak but was necessary for long-term viability [1]. Shutting down the Houston refinery and divesting European O&amp;P assets at a $734M loss demonstrate willingness to exit legacy businesses for strategic clarity. However, Vanacker sold 20,000 shares with no purchases while cutting the dividend, undermining the narrative of shared sacrifice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LyondellBasell at $62.30 with a $20.1B market cap offers deep cyclical value at 10.05x forward earnings with a 4.6% dividend yield. Q1 2026 EBITDA reached $568M ($615M adjusted) as Middle East conflict supply disruptions removed approximately 6M tons of polyethylene capacity (20-25% of regional supply), not expected to restart before 2027 [1]. CEO Vanacker's global cost curve has 'materially steepened,' with the company leaning on its lowest-cost North American assets. Management is on target to deliver $500M incremental cash through its Cash Improvement Plan by end of 2026, and the $1.5B Value Enhancement Program targets recurring EBITDA improvement by 2028. The strategic simplification — Houston refinery closure reducing GHG by ~3M metric tons, European asset divestitures — creates a more focused chemicals company. The Inspire Impact Score of 43 (ALIGNED) with zero negative attributions is a positive for faith-based investors.</w:t>
      </w:r>
    </w:p>
    <w:p>
      <w:pPr>
        <w:spacing w:after="120"/>
      </w:pPr>
      <w:r>
        <w:rPr>
          <w:rFonts w:ascii="Calibri" w:hAnsi="Calibri"/>
          <w:b w:val="0"/>
          <w:color w:val="3A4A28"/>
          <w:sz w:val="20"/>
        </w:rPr>
        <w:t>The bear case centers on cyclical dependence, dividend deterioration, and governance concerns. Q1 2026 revenue of $7.20B actually declined 6.25% YoY and missed consensus by $176M, despite the favorable margin backdrop — management itself cautions that recovery will take 'quarters, not months' [1]. Revenue has collapsed from $50.5B (FY2022) to ~$31B TTM, and FY2025 annual revenue of $30.15B declined 9.7% from FY2024, reflecting persistent global petrochemical overcapacity. The 50% dividend cut (from $1.37 to $0.69/quarter) broke the 14-year growth streak, the 5yr dividend growth CAGR is approximately -8%, and the stock has declined 26% from its 52-week high of $83.94 [4]. CEO Vanacker selling 20,000 shares with zero purchases while cutting the dividend raises governance concerns. ROE of -2.27% and profit margin of -1.13% remain negative on a trailing basis. Environmental liabilities persist — Texas sued a subsidiary over emissions violations, and the EPA consent decree covering flare operations remains active. D/E of 132.76% reflects $14.3B in debt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Middle East supply disruptions removing 20-25% of regional polyethylene capacity through at least 2027, creating sustained margin tailwinds for LYB's lowest-cost North American cracking assets — management says recovery period likely extends well into 2027 [1]</w:t>
      </w:r>
    </w:p>
    <w:p>
      <w:pPr>
        <w:spacing w:before="40" w:after="40"/>
        <w:ind w:left="283"/>
      </w:pPr>
      <w:r>
        <w:rPr>
          <w:rFonts w:ascii="Calibri" w:hAnsi="Calibri"/>
          <w:b/>
          <w:color w:val="4A6B25"/>
          <w:sz w:val="20"/>
        </w:rPr>
        <w:t xml:space="preserve">2. </w:t>
      </w:r>
      <w:r>
        <w:rPr>
          <w:rFonts w:ascii="Calibri" w:hAnsi="Calibri"/>
          <w:b w:val="0"/>
          <w:color w:val="3A4A28"/>
          <w:sz w:val="20"/>
        </w:rPr>
        <w:t>Value Enhancement Program targeting $1.5B recurring annual EBITDA improvement by 2028 through cost optimization, portfolio simplification, and the $500M Cash Improvement Plan on track for delivery by end of 2026 [1]</w:t>
      </w:r>
    </w:p>
    <w:p>
      <w:pPr>
        <w:spacing w:before="40" w:after="40"/>
        <w:ind w:left="283"/>
      </w:pPr>
      <w:r>
        <w:rPr>
          <w:rFonts w:ascii="Calibri" w:hAnsi="Calibri"/>
          <w:b/>
          <w:color w:val="4A6B25"/>
          <w:sz w:val="20"/>
        </w:rPr>
        <w:t xml:space="preserve">3. </w:t>
      </w:r>
      <w:r>
        <w:rPr>
          <w:rFonts w:ascii="Calibri" w:hAnsi="Calibri"/>
          <w:b w:val="0"/>
          <w:color w:val="3A4A28"/>
          <w:sz w:val="20"/>
        </w:rPr>
        <w:t>Houston refinery Circular Hub conversion and MoReTec advanced recycling creating differentiated revenue from circular plastics, potentially commanding brand-owner premiums as regulatory pressure on virgin plastics intensifies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margin dependence — Q1 2026 revenue declined 6.25% YoY and missed consensus despite favorable pricing backdrop; margin recovery is geopolitically driven, not structural, and will compress when Middle East supply normalizes [1]</w:t>
      </w:r>
    </w:p>
    <w:p>
      <w:pPr>
        <w:spacing w:before="40" w:after="40"/>
        <w:ind w:left="283"/>
      </w:pPr>
      <w:r>
        <w:rPr>
          <w:rFonts w:ascii="Calibri" w:hAnsi="Calibri"/>
          <w:b/>
          <w:color w:val="4A6B25"/>
          <w:sz w:val="20"/>
        </w:rPr>
        <w:t xml:space="preserve">2. </w:t>
      </w:r>
      <w:r>
        <w:rPr>
          <w:rFonts w:ascii="Calibri" w:hAnsi="Calibri"/>
          <w:b w:val="0"/>
          <w:color w:val="3A4A28"/>
          <w:sz w:val="20"/>
        </w:rPr>
        <w:t>Dividend deterioration — 50% cut broke the 14-year growth streak, 5yr CAGR is -8%, and trailing payout ratio is meaningless (negative EPS); CEO sold shares with no purchases while cutting the dividend, signaling limited conviction [4]</w:t>
      </w:r>
    </w:p>
    <w:p>
      <w:pPr>
        <w:spacing w:before="40" w:after="40"/>
        <w:ind w:left="283"/>
      </w:pPr>
      <w:r>
        <w:rPr>
          <w:rFonts w:ascii="Calibri" w:hAnsi="Calibri"/>
          <w:b/>
          <w:color w:val="4A6B25"/>
          <w:sz w:val="20"/>
        </w:rPr>
        <w:t xml:space="preserve">3. </w:t>
      </w:r>
      <w:r>
        <w:rPr>
          <w:rFonts w:ascii="Calibri" w:hAnsi="Calibri"/>
          <w:b w:val="0"/>
          <w:color w:val="3A4A28"/>
          <w:sz w:val="20"/>
        </w:rPr>
        <w:t>Environmental liabilities — State of Texas sued subsidiary over emission events (2018-2021), EPA consent decree covering flare operations at four facilities, La Porte fatal chemical release, and Circular Hub permitting controversy with community opposition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LyondellBasell's core business — large-scale petrochemical production, polymer manufacturing, and chemical intermediates — is fundamentally physical and cannot be displaced by AI [2]. Chemical plants require massive capital infrastructure, regulatory permits, deep process engineering, and physical feedstock that AI cannot substitute. The margin expansion from Middle East supply disruptions demonstrates that physical-world supply constraints, not technology shifts, drive this industry's economics [1]. Analysts have not flagged AI as a disruption risk; primary threats remain cyclical commodity pricing, feedstock costs, and Asian/Middle Eastern overcapacity. However, AI tools could accelerate competitor R&amp;D in specialty chemicals, creating indirect competitive pressure. AI Opportunity (0/1): While the C3 AI partnership generates operational efficiencies in asset optimization, supply chain, and plant reliability, LyondellBasell does not generate revenue from AI products or services. The AI deployment is an internal cost reduction tool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LyondellBasell Q1 2026 Earnings and Q2 Outlook — Revenue $7.20B (-6.25% YoY), EBITDA $568M ($615M adjusted), Net Income $125M, Middle East Supply Disruption (6M tons PE capacity, 20-25% regional, restart not before 2027), $500M Cash Improvement Plan, SEC 8-K / Seeking Alpha / EarningsWhispers, May 2026</w:t>
      </w:r>
    </w:p>
    <w:p>
      <w:pPr>
        <w:spacing w:before="20" w:after="20"/>
        <w:ind w:left="170"/>
      </w:pPr>
      <w:r>
        <w:rPr>
          <w:rFonts w:ascii="Calibri" w:hAnsi="Calibri"/>
          <w:b/>
          <w:color w:val="4A6B25"/>
          <w:sz w:val="15"/>
        </w:rPr>
        <w:t xml:space="preserve">2. </w:t>
      </w:r>
      <w:r>
        <w:rPr>
          <w:rFonts w:ascii="Calibri" w:hAnsi="Calibri"/>
          <w:b w:val="0"/>
          <w:color w:val="3A4A28"/>
          <w:sz w:val="17"/>
        </w:rPr>
        <w:t>LyondellBasell Innovation and Culture — C3 AI Partnership, Emerson Automation, MoReTec Advanced Recycling, Chief Innovation Officer Jim Seward, CHRO 'Disruptor' Hire, Glassdoor 3.6/5, 2025-2026</w:t>
      </w:r>
    </w:p>
    <w:p>
      <w:pPr>
        <w:spacing w:before="20" w:after="20"/>
        <w:ind w:left="170"/>
      </w:pPr>
      <w:r>
        <w:rPr>
          <w:rFonts w:ascii="Calibri" w:hAnsi="Calibri"/>
          <w:b/>
          <w:color w:val="4A6B25"/>
          <w:sz w:val="15"/>
        </w:rPr>
        <w:t xml:space="preserve">3. </w:t>
      </w:r>
      <w:r>
        <w:rPr>
          <w:rFonts w:ascii="Calibri" w:hAnsi="Calibri"/>
          <w:b w:val="0"/>
          <w:color w:val="3A4A28"/>
          <w:sz w:val="17"/>
        </w:rPr>
        <w:t>LyondellBasell ESG and Environmental — Texas Lawsuit (Equistar Emissions 2018-2021), EPA Consent Decree (Flare Operations), La Porte Fatal Release, Houston Circular Hub Opposition, ChemSec / SEC 10-K / TCEQ,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LYB Key Statistics: Price $62.30, Market Cap $20.1B, Forward P/E 10.05, D/E 132.76%, ROE -2.27%, Profit Margin -1.13%, Dividend Yield 4.6%, 50% Dividend Cut,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