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MAA</w:t>
      </w:r>
      <w:r>
        <w:rPr>
          <w:rFonts w:ascii="Calibri" w:hAnsi="Calibri"/>
          <w:b/>
          <w:color w:val="1A2010"/>
          <w:sz w:val="40"/>
        </w:rPr>
        <w:t xml:space="preserve">  Mid-America Apartment Communities, Inc.</w:t>
      </w:r>
    </w:p>
    <w:p>
      <w:pPr>
        <w:spacing w:after="120"/>
      </w:pPr>
      <w:r>
        <w:rPr>
          <w:rFonts w:ascii="Calibri" w:hAnsi="Calibri"/>
          <w:b/>
          <w:color w:val="6E8450"/>
          <w:sz w:val="18"/>
        </w:rPr>
        <w:t>DIVIDEND SLEEVE · 2026-10-02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NYQ · United States</w:t>
      </w:r>
    </w:p>
    <w:p>
      <w:pPr>
        <w:spacing w:after="80"/>
      </w:pPr>
      <w:r>
        <w:rPr>
          <w:rFonts w:ascii="Calibri" w:hAnsi="Calibri"/>
          <w:b w:val="0"/>
          <w:color w:val="3A4A28"/>
          <w:sz w:val="20"/>
        </w:rPr>
        <w:t>Mid-America Apartment Communities is an S&amp;P 500 real estate investment trust focused on the ownership, management, acquisition, development, and redevelopment of quality apartment communities primarily in the Southeast, Southwest, and Mid-Atlantic regions of the United States. As of June 30, 2026, MAA owned approximately 104,698 apartment units across 16 states and the District of Columbia. Q2 2026 revenue was $555M (up 1.0% YoY) with Core FFO of $2.08/share. FY2026 Core FFO guidance midpoint is $8.53/share. Founded in 1977, headquartered in Germantown, Tennessee.</w:t>
      </w:r>
    </w:p>
    <w:p>
      <w:r>
        <w:rPr>
          <w:rFonts w:ascii="Calibri" w:hAnsi="Calibri"/>
          <w:b/>
          <w:color w:val="6E8450"/>
          <w:sz w:val="18"/>
        </w:rPr>
        <w:t>2,507 Employees · https://www.maac.com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MAA launched the ReiMAAgined Operating Platform in 2025-2026, centralizing property management operations using AI to reduce staffing requirements and improve leasing efficiency — a meaningful technology initiative for the apartment REIT sector [1][2]. Also completed portfolio-wide Wi-Fi rollout and deployed smart home features across communities. AI Deployment (1/2): The ReiMAAgined Operating Platform uses AI to automate maintenance request routing, respond to common leasing inquiries, and reduce service friction for residents — operational AI deployed and generating efficiency gains, though specific cost savings have not been publicly quantified [2]. Market Share (1/2): MAA is the largest publicly-traded apartment REIT focused on the Sunbelt, an S&amp;P 500 member with approximately 104,698 units across high-growth markets. Occupancy of 95.3-95.5% demonstrates strong demand capture despite significant new supply pressure in key markets [1]. Product Pipeline (1/2): Active development pipeline of communities under construction plus land acquisitions in Northern Virginia, Kansas City, and Nashville provide forward growth visibility. Management framed 2026 as an 'investment phase' setting up a healthier growth profile for 2027 [1]. R&amp;D Intensity (1/1): Having a dedicated EVP, Chief Technology and Innovation Officer (Joseph Fracchia, appointed 2024) is distinctive among apartment REITs and signals above-peer commitment to technology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MAA's stated focus is on 'delivering full-cycle and superior investment performance for shareholders' — explicitly financial in orientation and interchangeable with any REIT peer. The company's 'Living with Purpose' sustainability report suggests broader values, but investor communications remain anchored in total shareholder returns and FFO growth [3]. Community Impact (0/2): Updated 35% of portfolio for energy efficiency with 25 green-certified communities, raised minimum pay to $15/hour with 0% gender pay gap, and achieved Sustainalytics ESG Risk Rating of 13.8 (Low) [3]. However, these are operational sustainability measures, not distinctive community investment with specific charitable dollar amounts. Employee Retention (1/2): Glassdoor culture rating of 3.8/5 (8% above Real Estate industry average) with 89% CEO Brad Hill approval, and over 230 associates earned promotions in 2024 [2]. Long leadership tenures — Eric Bolton served as CEO for 20+ years, Brad Hill has been with MAA since 2010 — suggest organizational stability. Insider Buying (1/2): Director Tamara Fischer purchased 1,100 shares at $128.55 ($141,405) in May 2026, representing net insider buying activity at the board level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Q2 2026 delivered $555M revenue (up 1.0% YoY) with Core FFO of $2.08/share, and FY2026 Core FFO guidance midpoint is $8.53/share [1]. D/E of 102.4% scores 0.86 against the 70% target — typical for REITs which use leverage on physical assets. ROE of 7.05% is depressed by GAAP depreciation that understates REIT economics (score 0.47). Profit margin of 18.2% scores 0.91. Forward GAAP P/E of 35.5 is elevated (score 0.61) but standard for high-quality REITs; P/FFO of approximately 13.6x is reasonable. Revenue growth of 1.0% YoY and approximately 4% 5yr CAGR reflect the REIT's steady but modest organic growth trajectory. The 32+ year consecutive dividend track record with 14 consecutive years of growth and 8.3% 5yr CAGR demonstrates institutional-quality income reliability — Core FFO payout ratio of 71.7% provides ample coverage [1]. Daily dollar volume of $122.8M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MAA exhibits several infinite game behaviors — 32+ years of consecutive dividends, planned multi-year CEO succession (Bolton to Hill), continued development investment through supply-heavy markets, and long leadership tenures — but these reflect operational discipline rather than a Just Cause. The company plays to endure through conservative balance sheet management and Sunbelt market focus, but its strategic framing remains anchored in financial returns and shareholder value rather than a vision of a future state worth sacrificing for.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MAA's purpose is implied rather than articulated — providing quality apartment homes in the Sunbelt. Housing is a fundamental human need, and the company's 32+ year track record demonstrates commitment to serving it. However, communications are overwhelmingly focused on total shareholder returns, FFO growth, and operational efficiency [1]. There is no articulated vision of a better future that transcends financial performance. The CEO transition commentary focused on 'growth trajectory' and 'investment performance,' not on a deeper organizational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MAA demonstrates adequate organizational trust through long leadership tenures — Bolton served as CEO for 20+ years, Hill has been with the company since 2010, and the executive team is rated Top 30% on Comparably [2]. The planned CEO succession (announced December 2024, effective April 2025) was smooth and deliberate, suggesting organizational stability. Glassdoor culture rating of 3.8/5 with 89% CEO approval and over 230 internal promotions in 2024 indicate a functional workplace culture, though these metrics don't clearly exceed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MAA's competitive positioning focuses on Sunbelt market demographics, rental pricing power, and development yields rather than learning from or acknowledging rival apartment REITs like AvalonBay, UDR, or Camden Property. Management frames competition in terms of supply/demand dynamics and market share rather than self-improvement inspired by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MAA has incrementally evolved from a diversified apartment portfolio to a Sunbelt-focused strategy, invested in the ReiMAAgined technology platform, and expanded from pure acquisitions into ground-up development [1][2]. The technology investment represents a meaningful operational model evolution for a REIT. However, the core business model — own and operate apartments, collect rent — has not fundamentally changed in 45+ years.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MAA continues to invest in development during a challenging supply cycle, deploying capital on new communities and land acquisitions in Northern Virginia, Kansas City, and Nashville despite near-term pressure on same-store revenue growth [1]. The 32-year consecutive dividend through multiple recessions (including the 2008-2009 financial crisis) demonstrates commitment to long-term obligations. Management framed 2026 as an 'investment phase' rather than pulling back — a disciplined choice, though these are rational capital allocation decisions rather than costly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MAA at $116 is a high-quality Sunbelt apartment REIT trading at a 5.26% dividend yield — the highest yield in recent history — with 14 consecutive years of dividend growth (8.3% 5yr CAGR) and Core FFO payout ratio of 71.7% providing ample coverage [1]. Q2 2026 delivered $555M revenue with Core FFO of $2.08/share ($0.02 above guidance midpoint), and management raised FY2026 earnings guidance to $4.18-$4.50 ($4.34 midpoint) with Core FFO of $8.35-$8.71 ($8.53 midpoint) [1]. The 104,698-unit portfolio in Sunbelt markets benefits from structural migration tailwinds — population and employment growth in the Southeast, Southwest, and Mid-Atlantic — while new apartment supply deliveries are expected to peak mid-2026 and decline meaningfully in 2027-2028, setting up an improving rent growth environment.</w:t>
      </w:r>
    </w:p>
    <w:p>
      <w:pPr>
        <w:spacing w:after="120"/>
      </w:pPr>
      <w:r>
        <w:rPr>
          <w:rFonts w:ascii="Calibri" w:hAnsi="Calibri"/>
          <w:b w:val="0"/>
          <w:color w:val="3A4A28"/>
          <w:sz w:val="20"/>
        </w:rPr>
        <w:t>The bear case centers on the prolonged Sunbelt supply cycle and deteriorating near-term earnings. Same-store revenue growth is projected at just 0.55% for FY2026, and Core FFO guidance of $8.53 represents a roughly 2.4% decline YoY at the midpoint [1]. The stock has declined 19% from its 52-week high of $144.41 as the market questions when the supply overhang in key markets (Charlotte, Raleigh, Phoenix) will clear. Forward GAAP P/E of 35.5x and PEG of 7.03 are expensive for a company with near-zero revenue growth, suggesting the market is pricing in a recovery that could take longer than expected. ROE of 7.05% is low even by REIT standards (depressed by GAAP depreciation), and D/E of 102% represents meaningful leverage. Management characterized 2026 as a 'transition year,' but transition years can extend — and each additional quarter of supply pressure delays the rent growth recovery that justifies the current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apartment supply deliveries expected to peak mid-2026 and decline meaningfully in 2027-2028, creating a multi-year tailwind for rent growth across MAA's 104,698-unit Sunbelt portfolio [1]</w:t>
      </w:r>
    </w:p>
    <w:p>
      <w:pPr>
        <w:spacing w:before="40" w:after="40"/>
        <w:ind w:left="283"/>
      </w:pPr>
      <w:r>
        <w:rPr>
          <w:rFonts w:ascii="Calibri" w:hAnsi="Calibri"/>
          <w:b/>
          <w:color w:val="4A6B25"/>
          <w:sz w:val="20"/>
        </w:rPr>
        <w:t xml:space="preserve">2. </w:t>
      </w:r>
      <w:r>
        <w:rPr>
          <w:rFonts w:ascii="Calibri" w:hAnsi="Calibri"/>
          <w:b w:val="0"/>
          <w:color w:val="3A4A28"/>
          <w:sz w:val="20"/>
        </w:rPr>
        <w:t>ReiMAAgined Operating Platform rollout expected to expand margins by reducing on-site staffing requirements and automating leasing processes across the portfolio, driving NOI growth independent of rent increases [2]</w:t>
      </w:r>
    </w:p>
    <w:p>
      <w:pPr>
        <w:spacing w:before="40" w:after="40"/>
        <w:ind w:left="283"/>
      </w:pPr>
      <w:r>
        <w:rPr>
          <w:rFonts w:ascii="Calibri" w:hAnsi="Calibri"/>
          <w:b/>
          <w:color w:val="4A6B25"/>
          <w:sz w:val="20"/>
        </w:rPr>
        <w:t xml:space="preserve">3. </w:t>
      </w:r>
      <w:r>
        <w:rPr>
          <w:rFonts w:ascii="Calibri" w:hAnsi="Calibri"/>
          <w:b w:val="0"/>
          <w:color w:val="3A4A28"/>
          <w:sz w:val="20"/>
        </w:rPr>
        <w:t>5.26% dividend yield at a 14-year low stock price with 32+ years of consecutive payment and 14 years of growth — the highest income yield available from a Sunbelt apartment REIT with this quality and track record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Sunbelt apartment supply cycle is extended — Charlotte, Raleigh, Phoenix, and other key MAA markets face construction completions through 2027, limiting new lease pricing recovery and pressuring same-store revenue growth near 0% [1]</w:t>
      </w:r>
    </w:p>
    <w:p>
      <w:pPr>
        <w:spacing w:before="40" w:after="40"/>
        <w:ind w:left="283"/>
      </w:pPr>
      <w:r>
        <w:rPr>
          <w:rFonts w:ascii="Calibri" w:hAnsi="Calibri"/>
          <w:b/>
          <w:color w:val="4A6B25"/>
          <w:sz w:val="20"/>
        </w:rPr>
        <w:t xml:space="preserve">2. </w:t>
      </w:r>
      <w:r>
        <w:rPr>
          <w:rFonts w:ascii="Calibri" w:hAnsi="Calibri"/>
          <w:b w:val="0"/>
          <w:color w:val="3A4A28"/>
          <w:sz w:val="20"/>
        </w:rPr>
        <w:t>Forward GAAP P/E of 35.5x and PEG of 7.03 leave limited margin of safety for a company with 0.55% projected same-store revenue growth — any further earnings downgrades could drive additional stock price declines from the current 52-week low level [1]</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20+ year veteran Bolton to Hill introduces execution uncertainty during a challenging supply cycle, and the elevated D/E of 102% limits financial flexibility for opportunistic acquisitions or development acceleration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MAA's core business — owning and operating physical apartment communities — is structurally immune to AI disruption. People will always need physical housing, and AI cannot substitute for real buildings, land, maintenance, and in-person property management services [1]. The 104,698-unit portfolio represents irreplaceable physical assets in desirable Sunbelt locations where population growth and household formation drive demand regardless of technological change. Regulatory and zoning barriers to apartment development create additional protection. AI may actually benefit MAA by enabling operational efficiency gains, which the company is already capturing through its ReiMAAgined Operating Platform [2]. AI Opportunity (0/1): MAA deploys AI for internal operational efficiency (leasing automation, maintenance routing) but does not generate revenue from AI products or services. The AI deployment reduces costs rather than creating new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MAA Q2 2026 Earnings Release and FY2026 Guidance — $555M Revenue (+1.0% YoY), Core FFO $2.08/Share, FY2026 Guidance $8.35-$8.71/Share, Raised EPS Guidance to $4.18-$4.50, SEC 8-K Filing, July 2026</w:t>
      </w:r>
    </w:p>
    <w:p>
      <w:pPr>
        <w:spacing w:before="20" w:after="20"/>
        <w:ind w:left="170"/>
      </w:pPr>
      <w:r>
        <w:rPr>
          <w:rFonts w:ascii="Calibri" w:hAnsi="Calibri"/>
          <w:b/>
          <w:color w:val="4A6B25"/>
          <w:sz w:val="15"/>
        </w:rPr>
        <w:t xml:space="preserve">2. </w:t>
      </w:r>
      <w:r>
        <w:rPr>
          <w:rFonts w:ascii="Calibri" w:hAnsi="Calibri"/>
          <w:b w:val="0"/>
          <w:color w:val="3A4A28"/>
          <w:sz w:val="17"/>
        </w:rPr>
        <w:t>MAA Leadership, Culture, and Technology — CEO Brad Hill (89% Glassdoor Approval), CTO Joseph Fracchia, ReiMAAgined Platform, Glassdoor 3.8/5 Culture Rating, CoStar and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MAA Sustainability and ESG — Sustainalytics ESG Risk Rating 13.8 (Low), 25 Green Certified Communities, $15/hr Minimum Wage, 2024 Corporate Sustainability Report,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