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MAR</w:t>
      </w:r>
      <w:r>
        <w:rPr>
          <w:rFonts w:ascii="Calibri" w:hAnsi="Calibri"/>
          <w:b/>
          <w:color w:val="1A2010"/>
          <w:sz w:val="40"/>
        </w:rPr>
        <w:t xml:space="preserve">  Marriott International, Inc.</w:t>
      </w:r>
    </w:p>
    <w:p>
      <w:pPr>
        <w:spacing w:after="120"/>
      </w:pPr>
      <w:r>
        <w:rPr>
          <w:rFonts w:ascii="Calibri" w:hAnsi="Calibri"/>
          <w:b/>
          <w:color w:val="6E8450"/>
          <w:sz w:val="18"/>
        </w:rPr>
        <w:t>GROWTH SLEEVE · 2026-09-18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Lodging · NASDAQ · United States</w:t>
      </w:r>
    </w:p>
    <w:p>
      <w:pPr>
        <w:spacing w:after="80"/>
      </w:pPr>
      <w:r>
        <w:rPr>
          <w:rFonts w:ascii="Calibri" w:hAnsi="Calibri"/>
          <w:b w:val="0"/>
          <w:color w:val="3A4A28"/>
          <w:sz w:val="20"/>
        </w:rPr>
        <w:t>Marriott International operates, franchises, and licenses hotel, residential, and timeshare properties under approximately 30 brand names including Marriott, Sheraton, Westin, W Hotels, The Ritz-Carlton, St. Regis, and Courtyard. With 9,300+ properties and over 1.8 million rooms across 144 countries, it is the world's largest hotel company. The asset-light franchise/management model generates fee-based revenue from its Bonvoy loyalty program. In Q2 2026, Marriott reported adjusted EPS of $3.19 (+20% YoY) and gross fee revenues of $1.58B (+13%), raising full-year 2026 RevPAR guidance to 3.0-3.5% growth. Market cap approximately $87B.</w:t>
      </w:r>
    </w:p>
    <w:p>
      <w:r>
        <w:rPr>
          <w:rFonts w:ascii="Calibri" w:hAnsi="Calibri"/>
          <w:b/>
          <w:color w:val="6E8450"/>
          <w:sz w:val="18"/>
        </w:rPr>
        <w:t>413,000 Employees · https://www.marriott.com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Marriott executed the transformative $13.3B Starwood merger creating the world's largest hotel company, acquired Apple Leisure Group to enter all-inclusive resorts, and launched Homes &amp; Villas by Marriott Bonvoy to compete with Airbnb — meaningful strategic expansions that redefined scale advantages, though not business-model transformations [1]. The recent midscale entry represents a new segment push. AI Deployment (1/2): Marriott established a formal Generative AI Incubator evaluating 200+ use cases submitted by associates globally, with an AI studio now shifting from learning and testing to scaling selected use cases for revenue management, guest personalization, and chatbot-driven service [2]. CEO Capuano acknowledges AI as reshaping how hotels 'acquire, serve, and retain guests,' but no quantified AI-specific revenue or cost savings reported. Market Share (2/2): World's largest hotel company with 9,300+ properties, 1.8M+ rooms, and 283M+ Bonvoy loyalty members across 144 countries — clear category leader with 4.5-5% net rooms growth guiding continued share gains [1][3]. Product Pipeline (2/2): Development pipeline represents 600,000+ rooms providing multi-year visibility, with net rooms growth of 4.5-5% annually and the midscale brand launch expanding into a new market segment [3]. R&amp;D Intensity (0/1): Hospitality industry does not traditionally report R&amp;D spending; Marriott's technology transformation investment is meaningful but not top-quartile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Marriott's purpose is rooted in founder J. Willard Marriott's 1927 founding principle of 'putting people first' and formalized through the Serve 360: Doing Good in Every Direction platform, connecting hospitality to community service, environmental stewardship, and workforce development — specific, thoughtful, and shaped by nearly a century of family heritage [4]. Community Impact (1/2): Serve 360 platform encompasses community volunteering, science-based emissions reduction targets, and supplier diversity programs. Marriott has committed to reducing Scope 1 and 2 emissions and published annual ESG reports aligned with major frameworks [4]. Specific dollar amounts for charitable giving are limited in recent disclosures. Employee Retention (1/2): Glassdoor rating of 3.9/5 with 72% recommending to a friend is solid for hospitality. Leadership has been stable under CEO Capuano since 2021 following Arne Sorenson's passing. However, hospitality's inherently high property-level turnover limits retention metrics, and most associates work for franchisees, not Marriott directly [2]. Insider Buying (0/2): Net insider selling dominates — CEO Capuano sold $40.3M+ in shares during 2026 with no offsetting insider purchases identified. This pattern of heavy executive selling has persisted across several years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(D/E and ROE excluded — negative shareholders' equity from aggressive share buybacks makes both metrics undefined). Q2 2026 delivered adjusted EPS of $3.19 (+20% YoY) and gross fee revenues of $1.58B (+13%), with adjusted EBITDA of $1.59B (+13%) [1][3]. Full-year 2026 guidance raised: gross fee revenues of $5.9-5.96B (+8-10%), adjusted EPS midpoint of ~$11.73, RevPAR growth of 3-3.5%. Revenue growth YoY of 11.1% exceeds the 10% target. Profit margin of 35.0% is well above the 20% target. Forward P/E of 25.39 improved from prior screening (31.53). The company expects to return $4.5B+ to shareholders through buybacks and dividends in 2026. Daily dollar volume of $535M easily clears the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Marriott operates with genuine purpose rooted in nearly a century of Marriott family heritage, and the Serve 360 platform reflects real intentionality around community and sustainability. However, recent leadership decisions — massive insider selling by CEO Capuano, aggressive share buybacks creating negative equity, and optimization for quarterly earnings growth — reflect finite game thinking. The company has demonstrated meaningful strategic flexibility through the Starwood merger and asset-light transformation, but competitive language consistently emphasizes being the 'world's largest' rather than the world's best.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Marriott's founding purpose of 'putting people first,' established by J. Willard Marriott in 1927 and formalized through the Serve 360 platform, is genuine and distinctive — it connects hospitality to community service and has shaped the company's identity for nearly a century [4]. The purpose survived the founder's death, the Starwood merger, the COVID crisis, and a CEO succession. However, the Marriott family's operational control has diminished, and capital allocation priorities (massive buybacks, negative equity) suggest shareholder returns increasingly take precedence over the founding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with 72% recommending indicates an adequate work environment for the hospitality sector [2]. Leadership has been stable under CEO Capuano since 2021, and the company's 'people first' culture is part of its founding DNA. However, the franchise model means most of Marriott's 413,000 associates work for independent franchisees, limiting the company's ability to build deep organizational trust across the system. Property-level turnover in hospitality remains structurally high.</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Marriott's competitive language consistently emphasizes scale dominance — 'world's largest hotel company,' largest loyalty program, most rooms across 144 countries [1]. Earnings calls focus on market share gains and competitive positioning against Hilton and Hyatt rather than learning from rivals' strengths. CEO Capuano frames AI travel tools as threats to 'fend off' rather than competitive signals to learn from [2]. This is finite competitive thinking oriented toward dominance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Marriott has evolved significantly — from a root beer stand to a hotel chain to an asset-light franchise/management platform. The Starwood merger doubled its size and the pivot to asset-light operations fundamentally changed the business model from capital-intensive hotel ownership to fee-based management [1]. The entry into all-inclusive resorts, home-sharing, and now midscale shows willingness to expand beyond traditional luxury/premium lodging. However, these pivots were market-driven incremental adaptations rather than cause-driven transformative bets.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Marriott demonstrated courage during COVID by retaining core talent and investing in technology transformation during the downturn rather than purely cutting costs [2]. The $13.3B Starwood acquisition was a bold bet that redefined the competitive landscape, and the midscale segment entry shows willingness to risk brand dilution for long-term growth. However, CEO Capuano's $40.3M+ share sell-off in 2026 signals personal risk reduction rather than conviction, and capital allocation has prioritized $4.5B+ in annual shareholder returns over long-term investments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Marriott delivered an excellent Q2 2026 with adjusted EPS of $3.19 (+20% YoY, beating consensus by $0.19), gross fee revenues of $1.58B (+13%), and adjusted EBITDA of $1.59B (+13%), raising full-year RevPAR guidance to 3.0-3.5% growth including a 45bps World Cup tailwind [1][3]. The asset-light franchise model generates exceptional profitability — 35% profit margin on fee-based revenue and capacity to return $4.5B+ to shareholders annually through buybacks and dividends. At 25.4x forward earnings (down from 31.5x at previous screening), valuation has compressed to more reasonable levels while the development pipeline of 600,000+ rooms provides multi-year visibility into compounding franchise fee growth. The midscale entry opens a new $200B+ addressable market, and the Bonvoy loyalty ecosystem with 283M+ members creates a data-rich monetization platform.</w:t>
      </w:r>
    </w:p>
    <w:p>
      <w:pPr>
        <w:spacing w:after="120"/>
      </w:pPr>
      <w:r>
        <w:rPr>
          <w:rFonts w:ascii="Calibri" w:hAnsi="Calibri"/>
          <w:b w:val="0"/>
          <w:color w:val="3A4A28"/>
          <w:sz w:val="20"/>
        </w:rPr>
        <w:t>The bear case centers on cyclical exposure, balance sheet structure, and insider conviction. Marriott's revenue is correlated with global travel demand, and the 5.2% revenue CAGR since 2023 reflects a post-COVID normalization that could decelerate if economic conditions weaken — the company acknowledged potential RevPAR deterioration risk and Middle East construction delays [3]. Negative shareholders' equity from $16B+ in debt and aggressive buybacks creates financial fragility in a prolonged downturn, with limited balance sheet cushion despite strong cash generation. CEO Capuano sold $40.3M+ in shares in 2026 with no executive purchases, raising questions about leadership's own conviction at current prices [5]. The 11.1% revenue growth rate, while above target, includes one-time World Cup effects (45bps) that will not recur. AI travel agents and alternative booking platforms pose long-term distribution risk to Marriott's direct booking advantage. The Inspire Impact Score of -53 (MISALIGNED) due to gambling and LGBT activism flagging limits allocation for faith-based mandates.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Development pipeline of 600,000+ rooms converting to fee-paying properties over 3-5 years, driving 4.5-5% net unit growth and compounding franchise fees without significant capital expenditure [3]</w:t>
      </w:r>
    </w:p>
    <w:p>
      <w:pPr>
        <w:spacing w:before="40" w:after="40"/>
        <w:ind w:left="283"/>
      </w:pPr>
      <w:r>
        <w:rPr>
          <w:rFonts w:ascii="Calibri" w:hAnsi="Calibri"/>
          <w:b/>
          <w:color w:val="4A6B25"/>
          <w:sz w:val="20"/>
        </w:rPr>
        <w:t xml:space="preserve">2. </w:t>
      </w:r>
      <w:r>
        <w:rPr>
          <w:rFonts w:ascii="Calibri" w:hAnsi="Calibri"/>
          <w:b w:val="0"/>
          <w:color w:val="3A4A28"/>
          <w:sz w:val="20"/>
        </w:rPr>
        <w:t>Raised full-year 2026 guidance with gross fee revenues of $5.9-5.96B (+8-10%), supported by RevPAR acceleration to 3.0-3.5% growth and co-branded credit card fee increases driving $30M incremental impact [1][3]</w:t>
      </w:r>
    </w:p>
    <w:p>
      <w:pPr>
        <w:spacing w:before="40" w:after="40"/>
        <w:ind w:left="283"/>
      </w:pPr>
      <w:r>
        <w:rPr>
          <w:rFonts w:ascii="Calibri" w:hAnsi="Calibri"/>
          <w:b/>
          <w:color w:val="4A6B25"/>
          <w:sz w:val="20"/>
        </w:rPr>
        <w:t xml:space="preserve">3. </w:t>
      </w:r>
      <w:r>
        <w:rPr>
          <w:rFonts w:ascii="Calibri" w:hAnsi="Calibri"/>
          <w:b w:val="0"/>
          <w:color w:val="3A4A28"/>
          <w:sz w:val="20"/>
        </w:rPr>
        <w:t>Midscale brand launch expanding Marriott's addressable market into the largest lodging segment globally, with potential to add tens of thousands of rooms to the Bonvoy ecosystem over the next decade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travel demand risk — Marriott's fee-based revenue is correlated with global RevPAR, and any macro-driven slowdown in leisure or business travel could reverse the accelerating growth trajectory that supports premium valuation [3]</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from $16B+ in debt and aggressive share buybacks creates balance sheet fragility; while the asset-light model generates strong free cash flow, limited equity cushion amplifies risk in a prolonged recession or credit tightening cycle</w:t>
      </w:r>
    </w:p>
    <w:p>
      <w:pPr>
        <w:spacing w:before="40" w:after="40"/>
        <w:ind w:left="283"/>
      </w:pPr>
      <w:r>
        <w:rPr>
          <w:rFonts w:ascii="Calibri" w:hAnsi="Calibri"/>
          <w:b/>
          <w:color w:val="4A6B25"/>
          <w:sz w:val="20"/>
        </w:rPr>
        <w:t xml:space="preserve">3. </w:t>
      </w:r>
      <w:r>
        <w:rPr>
          <w:rFonts w:ascii="Calibri" w:hAnsi="Calibri"/>
          <w:b w:val="0"/>
          <w:color w:val="3A4A28"/>
          <w:sz w:val="20"/>
        </w:rPr>
        <w:t>CEO Capuano's $40.3M+ in share sales during 2026 with no offsetting executive purchases, combined with World Cup one-time benefits (45bps) inflating current-year RevPAR growth, suggests the sustainable growth trajectory may be lower than headline numbers imply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Marriott's core business — operating and franchising 9,300+ physical hotel properties across 144 countries — is structurally protected from AI substitution. Hospitality requires physical infrastructure, housekeeping, food service, and in-person guest experiences that AI cannot replicate [2]. The 283M+ member Bonvoy loyalty ecosystem and direct booking channel provide defense against AI-powered travel intermediaries. Some distribution risk exists as AI travel agents (ChatGPT, Google AI) could reduce reliance on branded booking platforms, but Marriott's scale, data advantages, and loyalty lock-in mitigate this threat. CEO Capuano has acknowledged the need to compete with AI travel tools while positioning AI as an operational enhancer [2]. AI Opportunity (1/1): Marriott is deploying generative AI across revenue management, dynamic pricing, chatbot guest services, and operational optimization through its formal AI Incubator with 200+ use cases evaluated. Co-branded credit card fees (a form of data-driven monetization) rose significantly in Q2, contributing to the 13% gross fee revenue growth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Marriott International Q2 2026 Earnings Release — Adjusted EPS $3.19 (+20%), Gross Fee Revenue $1.58B (+13%), Adjusted EBITDA $1.59B (+13%), August 2026</w:t>
      </w:r>
    </w:p>
    <w:p>
      <w:pPr>
        <w:spacing w:before="20" w:after="20"/>
        <w:ind w:left="170"/>
      </w:pPr>
      <w:r>
        <w:rPr>
          <w:rFonts w:ascii="Calibri" w:hAnsi="Calibri"/>
          <w:b/>
          <w:color w:val="4A6B25"/>
          <w:sz w:val="15"/>
        </w:rPr>
        <w:t xml:space="preserve">2. </w:t>
      </w:r>
      <w:r>
        <w:rPr>
          <w:rFonts w:ascii="Calibri" w:hAnsi="Calibri"/>
          <w:b w:val="0"/>
          <w:color w:val="3A4A28"/>
          <w:sz w:val="17"/>
        </w:rPr>
        <w:t>Marriott AI Strategy — Generative AI Incubator, 200+ Use Cases, CEO Capuano on AI and Hospitality — Skift, Forbes, CIO Dive, Klover.ai, 2026</w:t>
      </w:r>
    </w:p>
    <w:p>
      <w:pPr>
        <w:spacing w:before="20" w:after="20"/>
        <w:ind w:left="170"/>
      </w:pPr>
      <w:r>
        <w:rPr>
          <w:rFonts w:ascii="Calibri" w:hAnsi="Calibri"/>
          <w:b/>
          <w:color w:val="4A6B25"/>
          <w:sz w:val="15"/>
        </w:rPr>
        <w:t xml:space="preserve">3. </w:t>
      </w:r>
      <w:r>
        <w:rPr>
          <w:rFonts w:ascii="Calibri" w:hAnsi="Calibri"/>
          <w:b w:val="0"/>
          <w:color w:val="3A4A28"/>
          <w:sz w:val="17"/>
        </w:rPr>
        <w:t>Marriott Full-Year 2026 Guidance — RevPAR Growth 3-3.5%, Net Rooms Growth 4.5-5%, Gross Fee Revenue $5.9-5.96B, Shareholder Returns $4.5B+, Finvera/Investing.com, August 2026</w:t>
      </w:r>
    </w:p>
    <w:p>
      <w:pPr>
        <w:spacing w:before="20" w:after="20"/>
        <w:ind w:left="170"/>
      </w:pPr>
      <w:r>
        <w:rPr>
          <w:rFonts w:ascii="Calibri" w:hAnsi="Calibri"/>
          <w:b/>
          <w:color w:val="4A6B25"/>
          <w:sz w:val="15"/>
        </w:rPr>
        <w:t xml:space="preserve">4. </w:t>
      </w:r>
      <w:r>
        <w:rPr>
          <w:rFonts w:ascii="Calibri" w:hAnsi="Calibri"/>
          <w:b w:val="0"/>
          <w:color w:val="3A4A28"/>
          <w:sz w:val="17"/>
        </w:rPr>
        <w:t>Marriott Serve 360 ESG Report — Environmental, Social, and Governance Progress, Science-Based Emissions Targets, serve360.marriott.com,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MAR Key Statistics: Stock Price $334.0, Forward P/E 25.39, Profit Margin 35.0%, Avg Volume 1,603,335, Insider Selling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