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MAS</w:t>
      </w:r>
      <w:r>
        <w:rPr>
          <w:rFonts w:ascii="Calibri" w:hAnsi="Calibri"/>
          <w:b/>
          <w:color w:val="1A2010"/>
          <w:sz w:val="40"/>
        </w:rPr>
        <w:t xml:space="preserve">  Masco Corporation</w:t>
      </w:r>
    </w:p>
    <w:p>
      <w:pPr>
        <w:spacing w:after="120"/>
      </w:pPr>
      <w:r>
        <w:rPr>
          <w:rFonts w:ascii="Calibri" w:hAnsi="Calibri"/>
          <w:b/>
          <w:color w:val="6E8450"/>
          <w:sz w:val="18"/>
        </w:rPr>
        <w:t>GROWTH SLEEVE · 2026-09-07 · Inspire: 55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Building Products &amp; Equipment · NYSE · United States</w:t>
      </w:r>
    </w:p>
    <w:p>
      <w:pPr>
        <w:spacing w:after="80"/>
      </w:pPr>
      <w:r>
        <w:rPr>
          <w:rFonts w:ascii="Calibri" w:hAnsi="Calibri"/>
          <w:b w:val="0"/>
          <w:color w:val="3A4A28"/>
          <w:sz w:val="20"/>
        </w:rPr>
        <w:t>Masco Corporation designs, manufactures, and distributes branded home improvement and building products across North America and internationally. Key brands include Behr paint (exclusive to Home Depot), Delta and Hansgrohe faucets, Kichler lighting, and Liberty Hardware. The company operates in two segments: Plumbing Products and Decorative Architectural Products. Q2 2026 net sales were $1,992M (-3% YoY), while adjusted EPS surged 26% to $1.64 on margin expansion. Full-year 2026 EPS guidance was raised to $4.40-$4.60 after receiving an anticipated $85M net benefit from IEEPA tariff refunds. Market cap approximately $15B.</w:t>
      </w:r>
    </w:p>
    <w:p>
      <w:r>
        <w:rPr>
          <w:rFonts w:ascii="Calibri" w:hAnsi="Calibri"/>
          <w:b/>
          <w:color w:val="6E8450"/>
          <w:sz w:val="18"/>
        </w:rPr>
        <w:t>18,000 Employees · https://www.masco.com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Masco executed a significant portfolio rationalization over the past 5 years, divesting its cabinetry business (KraftMaid, Merillat) and streamlining to focus on higher-margin plumbing and decorative architectural products, but this was an incremental optimization rather than a transformative pivot into new revenue streams [1]. AI Deployment (0/2): No AI-powered products are shipping to customers. The company is considering adding a Chief AI Officer to coordinate data, automation, and AI initiatives across brands, but this remains at the exploration stage with no quantified results or deployed solutions [3]. Market Share (2/2): Behr is the #1 interior and exterior paint brand at Home Depot with category-leading market share in the home-center channel, and Delta Faucet holds a top-three position in the North American residential faucet market by volume [1][2]. Product Pipeline (0/2): No specific next-generation products with named launch dates and revenue visibility have been announced; product development follows a standard annual refresh cadence for new paint colors, faucet designs, and lighting fixtures. R&amp;D Intensity (0/1): Masco's R&amp;D spending is modest relative to revenue, consistent with the building products industry but below technology-intensive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Masco's stated purpose centers on 'delivering superior value through innovative, quality products' and 'inspiring the way people live' — a clear articulation of what the company does and for whom, but not deeply distinctive or purpose-driven beyond the home improvement industry standard. Community Impact (1/2): Masco publishes annual sustainability reports aligned with GRI and SASB frameworks, with approximately 50% of revenue derived from sustainable products as of 2024, and commits to reducing GHG emissions across operations [4]. However, no specific charitable foundations, dollar amounts, or distinctive community programs were identified beyond standard corporate ESG reporting. Employee Retention (0/2): Glassdoor rating of 3.5/5 based on 284 reviews reflects an adequate but unremarkable employee experience. Reviews indicate culture has changed significantly under new CEO Jon Nudi (appointed July 2025), with concerns that leadership priorities have shifted from a balanced people-and-business approach to a more business-first agenda [3]. Insider Buying (0/2): No evidence of meaningful net insider buying by executives was identified in the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Masco's standout metrics are its low Forward P/E of 17.92 (below the 20x target, scoring 1.0) and technically infinite ROE of 7,150% (scoring 1.0, though artificially inflated by share buyback-depleted equity of approximately $80M against $3.3B in total debt) [5]. Profit margin of 10.71% scores 0.54, reflecting Masco's position as a manufacturer rather than a software or services business. The major drags are the extreme D/E ratio of 4,230% (scoring 0.0 — well above the 300% floor), flat-to-declining revenue trajectory with -0.6% YoY growth and -1.9% five-year CAGR scoring 0.65 and 0.21 respectively, and a PEG of 2.13 scoring 0.44 at 2x weight [1][2]. The strong EPS growth of 23% YoY is driven by margin expansion and aggressive share repurchases ($2B new authorization) rather than top-line acceleration. Liquidity floor easily cleared at ~$143M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Masco operates as a competent but finite-minded industrial conglomerate focused on operational optimization and capital returns rather than advancing a Just Cause. The July 2025 CEO transition to Jon Nudi has emphasized 'focus, agility, and alignment' — operational language oriented toward near-term execution rather than enduring purpose [3]. The company's strategic playbook of portfolio rationalization, margin expansion, and aggressive share repurchases ($2B new authorization) is textbook finite game: optimizing the current business rather than building toward a future that doesn't yet exist. Masco's 30+ year dividend history and strong brand portfolio suggest durability, but durability through operational efficiency is not the same as durability through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Masco articulates its purpose around 'inspiring the way people live' and 'delivering superior value through innovative products,' but this reads as industry-standard marketing rather than a distinctive vision of a future state that doesn't yet exist. New CEO Jon Nudi's stated priorities — 'provide focus, agility, and drive greater alignment between corporate objectives and business unit priorities' — are entirely operational and financial, with no reference to purpose, mission, or cause [3]. Strategic decisions (cabinetry divestiture, tariff management, buyback expansion) are driven by financial optimization, not advancing a larger cause. Masco is a well-run company that exists to make money for shareholders; Sinek would categorize this as a finite player.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Masco maintains a stable workforce of approximately 18,000 employees with Glassdoor ratings of 3.5/5, indicating an adequate but unremarkable employee experience [3]. The company has operated for decades without major labor disputes or cultural crises. However, employee reviews flag that the July 2025 CEO transition has introduced cultural uncertainty, with some describing a shift toward a 'what's good for the business and the leader's personal agenda' focus rather than a balanced people-and-business approach. The leadership shakeup suggests a period of organizational adjustment rather than deep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Masco's leadership acknowledging competitors' strengths as motivation for self-improvement or framing competition in learning terms. The company's competitive strategy centers on brand exclusivity (Behr at Home Depot), cost management, and distribution channel control — defensive finite-game positioning rather than the infinite-game posture of competing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Masco has demonstrated incremental strategic flexibility by divesting its cabinetry business segment (KraftMaid, Merillat) around 2019-2020 to focus on higher-margin plumbing and decorative architectural products [2]. This was a meaningful portfolio shift that improved margins and strategic clarity. However, it was an optimization within the existing home improvement category — not a transformative reinvention of the business model in service of a higher purpose. The company remains fundamentally the same business it was a decade ago, selling paint and faucets through the same channels.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Masco has shown some willingness to make difficult strategic decisions — the cabinetry divestiture required walking away from established revenue, and the $2B share repurchase authorization represents confidence in the business's long-term cash generation [2]. The company raised full-year guidance after navigating tariff uncertainty, turning potential headwinds into a net $85M benefit [1]. However, these decisions are primarily financial optimization rather than investments in long-term capability at the expense of short-term earnings. No evidence of R&amp;D bets, transformative investments, or principled stances that cost money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Masco at 17.92x forward earnings is a mature home improvement compounder benefiting from margin expansion and aggressive capital returns rather than top-line growth. Q2 2026 adjusted EPS surged 26% to $1.64 on operating margin improvement despite a 3% revenue decline, and full-year guidance was raised to $4.40-$4.60 (from $4.10-$4.30) after securing an $85M net tariff refund benefit [1]. The company's brand moat — Behr as the #1 paint brand with exclusive Home Depot distribution and Delta as a top-3 North American faucet brand — provides durable competitive positioning with high switching costs. The $2B share repurchase authorization and 30+ year dividend track record signal management confidence in sustained cash generation. Forward P/E of 17.92 and improved earnings trajectory make valuation reasonable for a capital-light manufacturer generating strong free cash flow.</w:t>
      </w:r>
    </w:p>
    <w:p>
      <w:pPr>
        <w:spacing w:after="120"/>
      </w:pPr>
      <w:r>
        <w:rPr>
          <w:rFonts w:ascii="Calibri" w:hAnsi="Calibri"/>
          <w:b w:val="0"/>
          <w:color w:val="3A4A28"/>
          <w:sz w:val="20"/>
        </w:rPr>
        <w:t>The bear case centers on structural revenue stagnation and balance sheet risk. Revenue has declined from $8.37B in 2021 to $7.62B on a trailing twelve-month basis, a five-year CAGR of -1.9%, reflecting secular headwinds in the housing market — higher mortgage rates suppressing existing home sales (the primary driver of renovation spending) and new construction activity remaining below normalized levels [1][2]. The extreme D/E of 4,230% (driven by buyback-depleted equity of ~$80M against $3.3B debt) creates financial fragility in a downturn scenario, though debt service is well-covered by operating cash flow currently. New CEO Jon Nudi (July 2025) has limited track record as CEO, and Glassdoor reviews suggest cultural disruption during the leadership transition [3]. Profit margin of 10.71% is below the IOWN 20% target, reflecting the capital-intensive manufacturing model. With the Inspire Impact Score of 55 (ALIGNED), faith-based investors face no screen-out, but the WATCH recommendation reflects insufficient growth and innovation characteristics for an IOWN portfolio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Housing market recovery as mortgage rates normalize could accelerate renovation spending and reverse the multi-year revenue decline, with Behr and Delta brands positioned to capture outsized share of incremental demand through exclusive Home Depot distribution [1]</w:t>
      </w:r>
    </w:p>
    <w:p>
      <w:pPr>
        <w:spacing w:before="40" w:after="40"/>
        <w:ind w:left="283"/>
      </w:pPr>
      <w:r>
        <w:rPr>
          <w:rFonts w:ascii="Calibri" w:hAnsi="Calibri"/>
          <w:b/>
          <w:color w:val="4A6B25"/>
          <w:sz w:val="20"/>
        </w:rPr>
        <w:t xml:space="preserve">2. </w:t>
      </w:r>
      <w:r>
        <w:rPr>
          <w:rFonts w:ascii="Calibri" w:hAnsi="Calibri"/>
          <w:b w:val="0"/>
          <w:color w:val="3A4A28"/>
          <w:sz w:val="20"/>
        </w:rPr>
        <w:t>Continued margin expansion through operational efficiency and tariff management — the $85M IEEPA tariff refund benefit and raised EPS guidance suggest management is effectively navigating the trade environment, with potential for further margin upside [1][2]</w:t>
      </w:r>
    </w:p>
    <w:p>
      <w:pPr>
        <w:spacing w:before="40" w:after="40"/>
        <w:ind w:left="283"/>
      </w:pPr>
      <w:r>
        <w:rPr>
          <w:rFonts w:ascii="Calibri" w:hAnsi="Calibri"/>
          <w:b/>
          <w:color w:val="4A6B25"/>
          <w:sz w:val="20"/>
        </w:rPr>
        <w:t xml:space="preserve">3. </w:t>
      </w:r>
      <w:r>
        <w:rPr>
          <w:rFonts w:ascii="Calibri" w:hAnsi="Calibri"/>
          <w:b w:val="0"/>
          <w:color w:val="3A4A28"/>
          <w:sz w:val="20"/>
        </w:rPr>
        <w:t>New CEO Jon Nudi's strategic review could unlock value through portfolio optimization, potential acquisitions in adjacent categories, or accelerated digital/AI adoption across brands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housing market weakness as elevated mortgage rates suppress existing home sales — approximately 70% of Masco's revenue is tied to repair and remodel activity, which correlates strongly with home turnover volumes that remain well below pre-2022 levels [1][2]</w:t>
      </w:r>
    </w:p>
    <w:p>
      <w:pPr>
        <w:spacing w:before="40" w:after="40"/>
        <w:ind w:left="283"/>
      </w:pPr>
      <w:r>
        <w:rPr>
          <w:rFonts w:ascii="Calibri" w:hAnsi="Calibri"/>
          <w:b/>
          <w:color w:val="4A6B25"/>
          <w:sz w:val="20"/>
        </w:rPr>
        <w:t xml:space="preserve">2. </w:t>
      </w:r>
      <w:r>
        <w:rPr>
          <w:rFonts w:ascii="Calibri" w:hAnsi="Calibri"/>
          <w:b w:val="0"/>
          <w:color w:val="3A4A28"/>
          <w:sz w:val="20"/>
        </w:rPr>
        <w:t>Extreme balance sheet leverage (D/E 4,230%) driven by aggressive buybacks creates financial fragility — while debt service is currently manageable from cash flow, a recession-driven earnings decline could stress coverage ratios and limit strategic flexibility [5]</w:t>
      </w:r>
    </w:p>
    <w:p>
      <w:pPr>
        <w:spacing w:before="40" w:after="40"/>
        <w:ind w:left="283"/>
      </w:pPr>
      <w:r>
        <w:rPr>
          <w:rFonts w:ascii="Calibri" w:hAnsi="Calibri"/>
          <w:b/>
          <w:color w:val="4A6B25"/>
          <w:sz w:val="20"/>
        </w:rPr>
        <w:t xml:space="preserve">3. </w:t>
      </w:r>
      <w:r>
        <w:rPr>
          <w:rFonts w:ascii="Calibri" w:hAnsi="Calibri"/>
          <w:b w:val="0"/>
          <w:color w:val="3A4A28"/>
          <w:sz w:val="20"/>
        </w:rPr>
        <w:t>CEO transition risk as Jon Nudi (appointed July 2025) reshapes organizational culture and priorities, with early Glassdoor feedback suggesting cultural disruption and potential talent attrition during the adjustment period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Masco's core business — manufacturing and distributing physical home improvement products (paint, faucets, lighting, hardware) — is structurally immune to AI disruption. Paint must be physically produced, distributed, and applied; faucets and plumbing fixtures require manufacturing, installation, and physical infrastructure. No AI system can substitute for the physical products Masco sells [1]. The company's brand moat at Home Depot (exclusive Behr distribution) and established contractor relationships create additional switching cost barriers that AI cannot replicate. AI-driven tools may modestly affect marketing channels and design workflows, but these are peripheral to the manufacturing and distribution core. No analysts have flagged AI as a material risk factor for Masco's business model. AI Opportunity (0/1): Masco does not generate revenue from AI products or services. The company is exploring AI internally for operational efficiency (considering a Chief AI Officer role) but has not quantified any AI-driven savings or launched AI-powered products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Masco Q2 2026 Earnings Release — Net Sales $1,992M (-3% YoY), Adjusted EPS $1.64 (+26%), FY2026 Guidance Raised to $4.40-$4.60, $85M Tariff Refund Benefit, July 2026</w:t>
      </w:r>
    </w:p>
    <w:p>
      <w:pPr>
        <w:spacing w:before="20" w:after="20"/>
        <w:ind w:left="170"/>
      </w:pPr>
      <w:r>
        <w:rPr>
          <w:rFonts w:ascii="Calibri" w:hAnsi="Calibri"/>
          <w:b/>
          <w:color w:val="4A6B25"/>
          <w:sz w:val="15"/>
        </w:rPr>
        <w:t xml:space="preserve">2. </w:t>
      </w:r>
      <w:r>
        <w:rPr>
          <w:rFonts w:ascii="Calibri" w:hAnsi="Calibri"/>
          <w:b w:val="0"/>
          <w:color w:val="3A4A28"/>
          <w:sz w:val="17"/>
        </w:rPr>
        <w:t>Masco Q1 2026 Earnings Release — Net Sales $1,918M (+6% YoY), Adjusted EPS +20%, $2B Share Repurchase Authorization Expanded, April 2026</w:t>
      </w:r>
    </w:p>
    <w:p>
      <w:pPr>
        <w:spacing w:before="20" w:after="20"/>
        <w:ind w:left="170"/>
      </w:pPr>
      <w:r>
        <w:rPr>
          <w:rFonts w:ascii="Calibri" w:hAnsi="Calibri"/>
          <w:b/>
          <w:color w:val="4A6B25"/>
          <w:sz w:val="15"/>
        </w:rPr>
        <w:t xml:space="preserve">3. </w:t>
      </w:r>
      <w:r>
        <w:rPr>
          <w:rFonts w:ascii="Calibri" w:hAnsi="Calibri"/>
          <w:b w:val="0"/>
          <w:color w:val="3A4A28"/>
          <w:sz w:val="17"/>
        </w:rPr>
        <w:t>Masco Leadership and Culture — New CEO Jon Nudi (July 2025), CAIO Consideration, Glassdoor 3.5/5 Reviews — MarketChameleon, Glassdoor, 2025-2026</w:t>
      </w:r>
    </w:p>
    <w:p>
      <w:pPr>
        <w:spacing w:before="20" w:after="20"/>
        <w:ind w:left="170"/>
      </w:pPr>
      <w:r>
        <w:rPr>
          <w:rFonts w:ascii="Calibri" w:hAnsi="Calibri"/>
          <w:b/>
          <w:color w:val="4A6B25"/>
          <w:sz w:val="15"/>
        </w:rPr>
        <w:t xml:space="preserve">4. </w:t>
      </w:r>
      <w:r>
        <w:rPr>
          <w:rFonts w:ascii="Calibri" w:hAnsi="Calibri"/>
          <w:b w:val="0"/>
          <w:color w:val="3A4A28"/>
          <w:sz w:val="17"/>
        </w:rPr>
        <w:t>Masco ESG and Corporate Citizenship — MSCI Rating: A, 50% Sustainable Revenue, GRI/SASB-Aligned Sustainability Reports — KnowESG, Masco.com,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MAS Key Statistics: Forward P/E 17.92, ROE 7,150%, D/E 42.30x, Profit Margin 10.71%, Stock Price $71.48,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