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MATX</w:t>
      </w:r>
      <w:r>
        <w:rPr>
          <w:rFonts w:ascii="Calibri" w:hAnsi="Calibri"/>
          <w:b/>
          <w:color w:val="1A2010"/>
          <w:sz w:val="40"/>
        </w:rPr>
        <w:t xml:space="preserve">  Matson, Inc.</w:t>
      </w:r>
    </w:p>
    <w:p>
      <w:pPr>
        <w:spacing w:after="120"/>
      </w:pPr>
      <w:r>
        <w:rPr>
          <w:rFonts w:ascii="Calibri" w:hAnsi="Calibri"/>
          <w:b/>
          <w:color w:val="6E8450"/>
          <w:sz w:val="18"/>
        </w:rPr>
        <w:t>GROWTH SLEEVE · 2026-08-28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Logistics · NYSE · United States</w:t>
      </w:r>
    </w:p>
    <w:p>
      <w:pPr>
        <w:spacing w:after="80"/>
      </w:pPr>
      <w:r>
        <w:rPr>
          <w:rFonts w:ascii="Calibri" w:hAnsi="Calibri"/>
          <w:b w:val="0"/>
          <w:color w:val="3A4A28"/>
          <w:sz w:val="20"/>
        </w:rPr>
        <w:t>Matson, Inc. is a 142-year-old ocean transportation and logistics company providing container shipping services primarily in the Pacific trade lanes. The company operates Matson Navigation (Hawaii, Alaska, Guam, China-Long Beach Express), Matson Logistics (supply chain services), and Matson Terminals (Hawaii terminal operations). Protected by the Jones Act in domestic trade lanes. Q2 2026 delivered $969.4M revenue (+16.7% YoY), operating income of $158.9M (+40.6%), and EPS of $4.27. Full-year 2026 operating income guided to exceed 2025's $499.8M. Market cap approximately $6.7B.</w:t>
      </w:r>
    </w:p>
    <w:p>
      <w:r>
        <w:rPr>
          <w:rFonts w:ascii="Calibri" w:hAnsi="Calibri"/>
          <w:b/>
          <w:color w:val="6E8450"/>
          <w:sz w:val="18"/>
        </w:rPr>
        <w:t>4,170 Employees · https://www.matson.com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Matson has invested over $1B in next-generation LNG-ready vessels (Aloha Class and Kanaloa Class) with dual-fuel engines and green technology, and expanded its logistics segment (+30.4% YoY revenue in Q2 2026 to $202M) [1][3]. However, these represent fleet modernization and organic growth rather than business model transformation — the company operates the same trade routes with the same customers as a decade ago. AI Deployment (0/2): No evidence of AI-powered products, services, or quantified internal AI-driven efficiency gains in Matson's shipping or logistics operations. Market Share (2/2): Matson holds a dominant position in Hawaii-mainland and Alaska-mainland trade lanes under Jones Act protection, effectively operating as a duopoly in Hawaii shipping [1]. The China-Long Beach Express provides a premium, expedited Transpacific service operating at or near capacity through peak season. Product Pipeline (1/2): $400M in vessel construction spending in 2026, $150-170M additional capex, and $45M dry-docking investments provide clear near-term visibility [1]. Q3 2026 ocean transportation operating income expected approximately 45% higher than Q3 2025's $147.4M. However, no specific next-generation services or technology products are announced. R&amp;D Intensity (0/1): Shipping companies spend minimally on R&amp;D; Matson's capital is deployed into vessels and terminal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Matson's purpose is centered on reliably serving Hawaii, Alaska, and Pacific island communities — a clear and community-oriented mission that identifies what the company does and for whom, rooted in 142 years of service since 1882 [1]. It does not articulate a transformative vision beyond dependable shipping. Community Impact (2/2): Matson's 2025 Sustainability Report documents a 25% reduction in Scope 1 emissions and a $1B green fleet investment accelerating net-zero strategy [3]. The company received the 2026 Rear Admiral William M. Benkert Environmental Protection Award — the U.S. Coast Guard's highest corporate honor for marine environmental stewardship. CEO Matt Cox serves on boards of Catholic Charities Hawaii, Move Oahu Forward, and Foodland Super Market, demonstrating genuine community engagement. Employee Retention (1/2): Matson achieved 83% employee satisfaction, outperforming the average U.S. workplace benchmark by 26%, and earned recognition as a Great Place to Work [2]. These are meaningful indicators of a positive culture, though specific voluntary turnover data is unavailable. Insider Buying (0/2):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0.68% &lt; 2% threshold, not in portfolios.json). D/E of 26% scores 1.0 (conservative balance sheet well below 70% target) [4]. ROE of 16% scores 1.0 (above 15% target) [2x weight]. Revenue growth YoY of 16.7% scores 1.0 (Q2 2026 revenue $969.4M vs Q2 2025 $830.5M, with full-year 2026 operating income guided to exceed 2025) [1]. Revenue growth 5yr CAGR of approximately 7.0% scores 0.80 (2020 revenue $2,383M to 2025 ~$3,400M, depressed by normalization from 2022 COVID shipping peak) [2x weight]. Forward P/E of 13.10 scores 1.0 (attractive valuation well below 20 target) [4]. Profit margin of 12.92% scores 0.646. Forward PEG estimated at 0.87 scores 1.0 (based on forward PE of 13.10 and estimated 15% EPS growth) [2x weight]. Weighted sum 9.25 out of 10.0 weight units = 9.25, rounded to 9. Liquidity passes: ~338K daily volume x $222.68 = $75.2M.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Matson is a 142-year-old company that has survived multiple industry transformations and continues to serve its core Pacific communities with reliability and consistency. Under Matt Cox's 14-year tenure as CEO, the company has invested $1B in green fleet modernization while maintaining a strong balance sheet and achieving 83% employee satisfaction. However, the Jones Act protection creates a regulatory comfort zone that reduces the urgency for transformative thinking, and the company's strategic playbook has remained largely unchanged for decades.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Matson's 142-year history of serving Hawaii, Alaska, and Pacific island communities represents a genuine and enduring purpose — these communities depend on reliable ocean shipping for essential goods, and Matson has been the backbone of that lifeline since 1882 [1]. The $1B green fleet investment and 2026 Benkert Environmental Award demonstrate alignment between purpose and action [3]. However, the purpose has not been articulated as a transformative vision of a better future, and Jones Act protection reduces the costliness of commitment to this purpose.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Matson achieved 83% employee satisfaction, outperforming the U.S. workplace benchmark by 26 percentage points, and earned Great Place to Work recognition [2]. CEO Matt Cox has led Matson since 2012 (14 years), joined in 2001, and progressed through CFO and COO roles, reflecting a promote-from-within culture. His community involvement in Hawaii (Catholic Charities, Move Oahu Forward) signals genuine connection to the company's purpose. The combination of leadership tenure, high satisfaction, and external recognition represents strong evidence of a trusting organizational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how Matson views competitors in a constructive, self-improvement framework. The company's communications emphasize its service quality, speed advantages, and Jones Act positioning rather than referencing learning from or acknowledging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Matson has evolved from a pure Hawaii shipping company to a diversified Pacific shipping and logistics operation, launching the China-Long Beach Express in 2006 and building Matson Logistics into a $202M quarterly revenue business (+30.4% YoY) [1]. These represent meaningful evolution, though incremental rather than transformative — the company remains fundamentally an ocean carrier.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Matson committed $1B to next-generation LNG-ready vessels with green technology and environmental safeguards, investing ahead of regulatory requirements [3]. The company maintained 14 consecutive years of dividend growth through the post-pandemic shipping downturn. However, the Jones Act regulatory floor reduces the genuine riskiness of these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Matson delivered a strong Q2 2026 with $969.4M revenue (+16.7% YoY), operating income of $158.9M (+40.6%), and EPS of $4.27, with full-year 2026 operating income guided to exceed 2025's $499.8M [1]. At 13.10x forward earnings, Matson offers compelling value for a Jones Act-protected franchise with a dominant duopoly position in Hawaii shipping, an ultra-low D/E of 26%, and accelerating China-Long Beach Express demand. The logistics segment's 30.4% revenue growth to $202M demonstrates successful diversification. Matson's $1B green fleet investment, 25% Scope 1 emissions reduction, and 2026 USCG Benkert Environmental Award position the company ahead of tightening maritime emissions regulations [3]. The Inspire Impact Score of 39 (ALIGNED) and 83% employee satisfaction make Matson an attractive holding for values-oriented investors.</w:t>
      </w:r>
    </w:p>
    <w:p>
      <w:pPr>
        <w:spacing w:after="120"/>
      </w:pPr>
      <w:r>
        <w:rPr>
          <w:rFonts w:ascii="Calibri" w:hAnsi="Calibri"/>
          <w:b w:val="0"/>
          <w:color w:val="3A4A28"/>
          <w:sz w:val="20"/>
        </w:rPr>
        <w:t>The bear case centers on growth limitations and cyclical exposure. Revenue normalized from the 2022 pandemic peak of $4.3B, and the 5-year revenue CAGR of only 7% reflects a mature, cyclical business with limited growth levers beyond Jones Act-protected trade lanes [4]. Profit margins of 12.92% are modest for a company with regulatory protection, and the 0.68% dividend yield provides minimal income support despite 14 consecutive years of increases. The Jones Act is politically controversial — any erosion of this regulatory moat would expose Matson to competition from lower-cost foreign-flag carriers. Transpacific shipping rates remain volatile and influenced by geopolitical dynamics beyond Matson's control, with Q4 2026 demand expected to reflect 'more traditional seasonality patterns,' suggesting deceleration from peak-season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ocean transportation operating income expected approximately 45% higher than Q3 2025's $147.4M, with full-year 2026 consolidated operating income guided to exceed 2025's $499.8M — strong near-term earnings momentum [1]</w:t>
      </w:r>
    </w:p>
    <w:p>
      <w:pPr>
        <w:spacing w:before="40" w:after="40"/>
        <w:ind w:left="283"/>
      </w:pPr>
      <w:r>
        <w:rPr>
          <w:rFonts w:ascii="Calibri" w:hAnsi="Calibri"/>
          <w:b/>
          <w:color w:val="4A6B25"/>
          <w:sz w:val="20"/>
        </w:rPr>
        <w:t xml:space="preserve">2. </w:t>
      </w:r>
      <w:r>
        <w:rPr>
          <w:rFonts w:ascii="Calibri" w:hAnsi="Calibri"/>
          <w:b w:val="0"/>
          <w:color w:val="3A4A28"/>
          <w:sz w:val="20"/>
        </w:rPr>
        <w:t>China-Long Beach Express operating at or near capacity through peak season, with Matson's premium expedited service commanding pricing power as shippers prioritize speed and reliability [1]</w:t>
      </w:r>
    </w:p>
    <w:p>
      <w:pPr>
        <w:spacing w:before="40" w:after="40"/>
        <w:ind w:left="283"/>
      </w:pPr>
      <w:r>
        <w:rPr>
          <w:rFonts w:ascii="Calibri" w:hAnsi="Calibri"/>
          <w:b/>
          <w:color w:val="4A6B25"/>
          <w:sz w:val="20"/>
        </w:rPr>
        <w:t xml:space="preserve">3. </w:t>
      </w:r>
      <w:r>
        <w:rPr>
          <w:rFonts w:ascii="Calibri" w:hAnsi="Calibri"/>
          <w:b w:val="0"/>
          <w:color w:val="3A4A28"/>
          <w:sz w:val="20"/>
        </w:rPr>
        <w:t>Logistics segment growth accelerating to 30.4% YoY in Q2 2026 ($202M revenue), demonstrating successful diversification from ocean transportation and providing a potential re-rating catalyst if margin expansion follows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normalized from the 2022 pandemic peak of $4.3B, and Q4 2026 expected to reflect 'more traditional seasonality' suggests deceleration from peak-season demand strength [1]</w:t>
      </w:r>
    </w:p>
    <w:p>
      <w:pPr>
        <w:spacing w:before="40" w:after="40"/>
        <w:ind w:left="283"/>
      </w:pPr>
      <w:r>
        <w:rPr>
          <w:rFonts w:ascii="Calibri" w:hAnsi="Calibri"/>
          <w:b/>
          <w:color w:val="4A6B25"/>
          <w:sz w:val="20"/>
        </w:rPr>
        <w:t xml:space="preserve">2. </w:t>
      </w:r>
      <w:r>
        <w:rPr>
          <w:rFonts w:ascii="Calibri" w:hAnsi="Calibri"/>
          <w:b w:val="0"/>
          <w:color w:val="3A4A28"/>
          <w:sz w:val="20"/>
        </w:rPr>
        <w:t>Jones Act reform or repeal remains a perennial political risk — any weakening of cabotage protections would expose Hawaii/Alaska routes to foreign-flag competition with dramatically lower cost structures</w:t>
      </w:r>
    </w:p>
    <w:p>
      <w:pPr>
        <w:spacing w:before="40" w:after="40"/>
        <w:ind w:left="283"/>
      </w:pPr>
      <w:r>
        <w:rPr>
          <w:rFonts w:ascii="Calibri" w:hAnsi="Calibri"/>
          <w:b/>
          <w:color w:val="4A6B25"/>
          <w:sz w:val="20"/>
        </w:rPr>
        <w:t xml:space="preserve">3. </w:t>
      </w:r>
      <w:r>
        <w:rPr>
          <w:rFonts w:ascii="Calibri" w:hAnsi="Calibri"/>
          <w:b w:val="0"/>
          <w:color w:val="3A4A28"/>
          <w:sz w:val="20"/>
        </w:rPr>
        <w:t>Forward P/E of 13.10x is attractive but reflects the market's assessment of Matson as a cyclical, low-growth business — re-rating requires sustained revenue growth above the 7% 5-year CAGR trend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Ocean shipping is fundamentally physical — moving containerized cargo across the Pacific requires vessels, ports, crews, fuel, and infrastructure that AI cannot substitute [1]. Matson's Jones Act protection in Hawaii and Alaska trade lanes adds a regulatory moat entirely independent of technology disruption. The company's expedited China-Long Beach Express service depends on vessel speed and reliability, not information processing. AI could potentially optimize routing, fuel consumption, or yard operations at the margin, but cannot replace the core physical service. The only exposure is in the logistics/supply chain brokerage segment ($202M Q2 revenue), where AI-powered freight matching platforms could eventually pressure margins. AI Opportunity (0/1): No evidence of AI-related revenue generation. Matson is a user of technology for operational efficiency, not a provider of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Matson Q2 2026 Earnings Release — Revenue $969.4M (+16.7%), Operating Income $158.9M (+40.6%), EPS $4.27, Full-Year 2026 OI Guidance Raised,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Matson Leadership, Culture, and Employee Satisfaction — CEO Matt Cox Profile, 83% Employee Satisfaction, Great Place to Work — Matson Investor Relations, Comparably, 2026</w:t>
      </w:r>
    </w:p>
    <w:p>
      <w:pPr>
        <w:spacing w:before="20" w:after="20"/>
        <w:ind w:left="170"/>
      </w:pPr>
      <w:r>
        <w:rPr>
          <w:rFonts w:ascii="Calibri" w:hAnsi="Calibri"/>
          <w:b/>
          <w:color w:val="4A6B25"/>
          <w:sz w:val="15"/>
        </w:rPr>
        <w:t xml:space="preserve">3. </w:t>
      </w:r>
      <w:r>
        <w:rPr>
          <w:rFonts w:ascii="Calibri" w:hAnsi="Calibri"/>
          <w:b w:val="0"/>
          <w:color w:val="3A4A28"/>
          <w:sz w:val="17"/>
        </w:rPr>
        <w:t>Matson 2025 Sustainability Report and Environmental Awards — $1B Green Fleet Investment, 25% Scope 1 Reduction, 2026 USCG Benkert Award — GreentechLead, StockTitan,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MacroTrends — MATX Key Statistics: Forward P/E 13.10x, ROE 16%, D/E 26%, Stock Price $222.68,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