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MAT</w:t>
      </w:r>
      <w:r>
        <w:rPr>
          <w:rFonts w:ascii="Calibri" w:hAnsi="Calibri"/>
          <w:b/>
          <w:color w:val="1A2010"/>
          <w:sz w:val="40"/>
        </w:rPr>
        <w:t xml:space="preserve">  Mattel, Inc.</w:t>
      </w:r>
    </w:p>
    <w:p>
      <w:pPr>
        <w:spacing w:after="120"/>
      </w:pPr>
      <w:r>
        <w:rPr>
          <w:rFonts w:ascii="Calibri" w:hAnsi="Calibri"/>
          <w:b/>
          <w:color w:val="6E8450"/>
          <w:sz w:val="18"/>
        </w:rPr>
        <w:t>GROWTH SLEEVE · 2026-08-26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Leisure · NASDAQ · United States</w:t>
      </w:r>
    </w:p>
    <w:p>
      <w:pPr>
        <w:spacing w:after="80"/>
      </w:pPr>
      <w:r>
        <w:rPr>
          <w:rFonts w:ascii="Calibri" w:hAnsi="Calibri"/>
          <w:b w:val="0"/>
          <w:color w:val="3A4A28"/>
          <w:sz w:val="20"/>
        </w:rPr>
        <w:t>Mattel designs, manufactures, and markets toys and family entertainment content across Barbie, Hot Wheels, Fisher-Price, American Girl, and licensed brands including Disney, WWE, Minecraft, and Jurassic World. Under Chairman/CEO Ynon Kreiz, the company has repositioned itself as an IP-driven entertainment company producing movies, games, and digital experiences alongside physical toys, cutting over 40% of its product line and reducing non-manufacturing headcount from 13,500 to 8,000 in the process [2]. Q2 2026 net sales grew 10% with full-year 2026 guidance of 3%-6% constant-currency growth, though tariffs remain a meaningful margin headwind (170-240bps gross margin impact) [1]. Headquartered in El Segundo, California.</w:t>
      </w:r>
    </w:p>
    <w:p>
      <w:r>
        <w:rPr>
          <w:rFonts w:ascii="Calibri" w:hAnsi="Calibri"/>
          <w:b/>
          <w:color w:val="6E8450"/>
          <w:sz w:val="18"/>
        </w:rPr>
        <w:t>31,000 Employees · https://corporate.mattel.com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Kreiz led a transformative pivot from a pure toy manufacturer into an IP-driven entertainment company producing movies, games, and digital products, cutting over 40% of the product line and reducing non-manufacturing headcount from 13,500 to 8,000 while establishing new content-driven revenue streams [2]. AI Deployment (1/2): Management states 'AI is accelerating product development without replacing creativity' and that AI is being 'thoughtfully integrated' into play experiences, but no specific quantified cost savings or AI-attributable revenue was found in available sources [2]. Market Share (1/2): Mattel holds leading positions in dolls (Barbie), die-cast vehicles (Hot Wheels), and infant/preschool (Fisher-Price), but no specific market-share percentage or share-gain figure was found in available sources. Product Pipeline (1/2): New IP partnerships (KPop Demon Hunters, Minecraft, Jurassic World) extend the brand portfolio, but no specific launch dates or revenue visibility figures were found in available sources. R&amp;D Intensity (0/1): No R&amp;D-as-%-of-revenue data was found in available sources.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Kreiz has articulated a clear turnaround purpose — uniting the organization behind a single vision to build a 'culture of innovation' centered on the power of play — which is clear and identifies what the company is trying to become, but has not yet been validated by a decade-plus track record the way IOWN's highest scores require [2]. Community Impact (0/2): No specific charitable-giving dollar figures were found in available sources (the company's ESG disclosures emphasize pay equity and GHG targets, not community investment). Employee Retention (0/2): Non-manufacturing headcount was cut from 13,500 to 8,000 as part of the restructuring — this is evidence of workforce reduction, not retention strength [2]. Insider Buying (0/2): No insider transaction data was found in available sources.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the growth-stock weighting. ROE of 20.50% clears its target, Forward P/E of 9.60x and Revenue Growth YoY of 10.5% both score at the 1.0 cap, and Forward PEG of 1.19 scores well above midpoint [4]. D/E of 137.45% and profit margin of 7.79% are both below target but contribute positively. The main drag is Revenue Growth 5yr CAGR of approximately -0.5% (using FY2022-FY2025 total revenue, which was essentially flat to slightly declining before the 2026 IP-driven growth reacceleration), scoring near the floor. The stock clears the liquidity floor comfortably at ~$67M in daily dollar volume (4.4M shares x $15.26).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Mattel's transformation under Kreiz from toy manufacturer to IP-driven entertainment company is a genuine strategic reinvention validated by results, and the 40% product-line cut and workforce reduction reflect real willingness to disrupt the legacy model. But Sinek's lens asks whether this was driven by a Just Cause or by commercial necessity following years of underperformance — the evidence found points more toward a well-executed commercial turnaround than a purpose that has been tested across market cycles, and the scale of layoffs cuts against a high-trust read.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Kreiz frames the mission around 'the power of play' and cultural impact, but the public framing found in available sources centers on commercial transformation metrics (product-line cuts, headcount reduction, IP monetization) rather than an idealistic, service-oriented cause that predates the turnaround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reduction of non-manufacturing headcount from 13,500 to 8,000 — more than 40% — is significant organizational disruption; no offsetting evidence of high trust, low turnover, or long employee tenure was found in available sources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framing competitors (Hasbro, LEGO) as worthy rivals whose strengths sharpen Mattel's strategy was found in available sources.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Mattel fundamentally reinvented its business model from a pure toy manufacturer into an IP-driven entertainment company producing movies, games, and digital products — cutting over 40% of its product line in the process — a transformative pivot rather than incremental adaptation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Cutting 40% of the product line and reducing non-manufacturing headcount by nearly 40% represents a costly, disruptive near-term decision made in service of the longer-term IP-entertainment strategy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Mattel's IP-driven entertainment transformation is showing through in results, with Q2 2026 net sales up 10% led by double-digit North America gains and strength in Vehicles and Action Figures, and full-year 2026 guidance maintained at 3%-6% constant-currency growth despite macro volatility [1]. A Forward P/E of 9.60x and Forward PEG of 1.19 are inexpensive relative to the growth guidance, ROE of 20.50% is solidly above target, and the strategic pivot into movies, games, and digital content (following the transformation that cut 40% of the legacy product line) diversifies revenue beyond physical toy manufacturing [2].</w:t>
      </w:r>
    </w:p>
    <w:p>
      <w:pPr>
        <w:spacing w:after="120"/>
      </w:pPr>
      <w:r>
        <w:rPr>
          <w:rFonts w:ascii="Calibri" w:hAnsi="Calibri"/>
          <w:b w:val="0"/>
          <w:color w:val="3A4A28"/>
          <w:sz w:val="20"/>
        </w:rPr>
        <w:t>The bear case centers on tariffs, margin pressure, and a still-thin growth track record. Tariffs cut 240bps from Q1 gross margin and 170bps from Q2, with full-year adjusted gross margin guided to approximately 50% — below the pre-tariff run rate — and the company's own guidance excludes any benefit from potential tariff refunds, leaving margin outcomes exposed to trade policy [1]. Revenue Growth 5yr CAGR of roughly -0.5% shows the current growth reacceleration follows several years of flat-to-declining sales, so the durability of the IP-entertainment strategy beyond a post-restructuring bounce is not yet proven. The 40%+ reduction in non-manufacturing headcount, while strategically justified, leaves no evidence of the organizational trust or retention strength Sinek's framework rewards, and no insider buying or distinctive community investment was found to support the Inspiration score. The Inspire Impact Score of -49 (MISALIGNED) may also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momentum in Vehicles (Hot Wheels) and Action Figures categories that drove 10% Q2 2026 sales growth, with North America posting double-digit gains [1]</w:t>
      </w:r>
    </w:p>
    <w:p>
      <w:pPr>
        <w:spacing w:before="40" w:after="40"/>
        <w:ind w:left="283"/>
      </w:pPr>
      <w:r>
        <w:rPr>
          <w:rFonts w:ascii="Calibri" w:hAnsi="Calibri"/>
          <w:b/>
          <w:color w:val="4A6B25"/>
          <w:sz w:val="20"/>
        </w:rPr>
        <w:t xml:space="preserve">2. </w:t>
      </w:r>
      <w:r>
        <w:rPr>
          <w:rFonts w:ascii="Calibri" w:hAnsi="Calibri"/>
          <w:b w:val="0"/>
          <w:color w:val="3A4A28"/>
          <w:sz w:val="20"/>
        </w:rPr>
        <w:t>New IP partnerships including KPop Demon Hunters, Minecraft, and Jurassic World extending the licensed-content pipeline beyond owned brands like Barbie and Hot Wheels</w:t>
      </w:r>
    </w:p>
    <w:p>
      <w:pPr>
        <w:spacing w:before="40" w:after="40"/>
        <w:ind w:left="283"/>
      </w:pPr>
      <w:r>
        <w:rPr>
          <w:rFonts w:ascii="Calibri" w:hAnsi="Calibri"/>
          <w:b/>
          <w:color w:val="4A6B25"/>
          <w:sz w:val="20"/>
        </w:rPr>
        <w:t xml:space="preserve">3. </w:t>
      </w:r>
      <w:r>
        <w:rPr>
          <w:rFonts w:ascii="Calibri" w:hAnsi="Calibri"/>
          <w:b w:val="0"/>
          <w:color w:val="3A4A28"/>
          <w:sz w:val="20"/>
        </w:rPr>
        <w:t>Tariff mitigation actions and the Optimizing for Profitable Growth (OPG) program, which delivered a 30bps margin benefit in Q2 2026 and could expand as supply-chain diversification continues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Tariff-driven gross margin compression (240bps in Q1, 170bps in Q2 2026) that guidance assumes persists without any refund benefit, pressuring the path to the ~50% full-year gross margin target [1]</w:t>
      </w:r>
    </w:p>
    <w:p>
      <w:pPr>
        <w:spacing w:before="40" w:after="40"/>
        <w:ind w:left="283"/>
      </w:pPr>
      <w:r>
        <w:rPr>
          <w:rFonts w:ascii="Calibri" w:hAnsi="Calibri"/>
          <w:b/>
          <w:color w:val="4A6B25"/>
          <w:sz w:val="20"/>
        </w:rPr>
        <w:t xml:space="preserve">2. </w:t>
      </w:r>
      <w:r>
        <w:rPr>
          <w:rFonts w:ascii="Calibri" w:hAnsi="Calibri"/>
          <w:b w:val="0"/>
          <w:color w:val="3A4A28"/>
          <w:sz w:val="20"/>
        </w:rPr>
        <w:t>Revenue Growth 5yr CAGR of roughly -0.5% indicates the current growth reacceleration follows years of stagnation, raising the question of whether 3%-6% growth is sustainable once restructuring tailwinds fade</w:t>
      </w:r>
    </w:p>
    <w:p>
      <w:pPr>
        <w:spacing w:before="40" w:after="40"/>
        <w:ind w:left="283"/>
      </w:pPr>
      <w:r>
        <w:rPr>
          <w:rFonts w:ascii="Calibri" w:hAnsi="Calibri"/>
          <w:b/>
          <w:color w:val="4A6B25"/>
          <w:sz w:val="20"/>
        </w:rPr>
        <w:t xml:space="preserve">3. </w:t>
      </w:r>
      <w:r>
        <w:rPr>
          <w:rFonts w:ascii="Calibri" w:hAnsi="Calibri"/>
          <w:b w:val="0"/>
          <w:color w:val="3A4A28"/>
          <w:sz w:val="20"/>
        </w:rPr>
        <w:t>Workforce reduction of more than 40% in non-manufacturing headcount creates execution and morale risk during a period requiring sustained creative and operational output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Mattel's core business — physical toy manufacturing and design tied to owned/licensed IP (Barbie, Hot Wheels, Fisher-Price) — has meaningful defensive moats against AI substitution, since AI cannot manufacture or physically ship toys, and brand/IP loyalty is not easily replicated. Some exposure exists in digital content creation and marketing functions where generative AI tools could pressure the entertainment/content arm, but no analyst commentary flagging material AI disruption risk to Mattel was found in available sources. AI Opportunity (0/1): Management describes AI as accelerating internal product development, but no quantified AI-attributable revenue or cost savings figure was found in available sources.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Mattel Reports Second Quarter 2026 Financial Results — BusinessWire/Motley Fool Q1 and Q2 2026 earnings call transcripts, net sales +10% Q2, full-year guidance 3%-6% CC growth, tariff impact detail, August 2026</w:t>
      </w:r>
    </w:p>
    <w:p>
      <w:pPr>
        <w:spacing w:before="20" w:after="20"/>
        <w:ind w:left="170"/>
      </w:pPr>
      <w:r>
        <w:rPr>
          <w:rFonts w:ascii="Calibri" w:hAnsi="Calibri"/>
          <w:b/>
          <w:color w:val="4A6B25"/>
          <w:sz w:val="15"/>
        </w:rPr>
        <w:t xml:space="preserve">2. </w:t>
      </w:r>
      <w:r>
        <w:rPr>
          <w:rFonts w:ascii="Calibri" w:hAnsi="Calibri"/>
          <w:b w:val="0"/>
          <w:color w:val="3A4A28"/>
          <w:sz w:val="17"/>
        </w:rPr>
        <w:t>HBR Leadership Summit 2026: Mattel's CEO on Driving Consumer Engagement and Cultural Impact — Ynon Kreiz interview on IP-driven transformation, product-line cuts, headcount reduction, and AI integration, July 2026</w:t>
      </w:r>
    </w:p>
    <w:p>
      <w:pPr>
        <w:spacing w:before="20" w:after="20"/>
        <w:ind w:left="170"/>
      </w:pPr>
      <w:r>
        <w:rPr>
          <w:rFonts w:ascii="Calibri" w:hAnsi="Calibri"/>
          <w:b/>
          <w:color w:val="4A6B25"/>
          <w:sz w:val="15"/>
        </w:rPr>
        <w:t xml:space="preserve">3. </w:t>
      </w:r>
      <w:r>
        <w:rPr>
          <w:rFonts w:ascii="Calibri" w:hAnsi="Calibri"/>
          <w:b w:val="0"/>
          <w:color w:val="3A4A28"/>
          <w:sz w:val="17"/>
        </w:rPr>
        <w:t>Mattel Citizenship/ESG disclosures — pay equity, GHG reduction roadmap, workforce composition, BusinessWire/KnowESG, 2022-2023</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MAT key statistics: Forward P/E 9.60x, PEG 1.19, D/E 137.45%, ROE 20.50%, Profit Margin 7.79%, Stock Price $15.26,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