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MCFT</w:t>
      </w:r>
      <w:r>
        <w:rPr>
          <w:rFonts w:ascii="Calibri" w:hAnsi="Calibri"/>
          <w:b/>
          <w:color w:val="1A2010"/>
          <w:sz w:val="40"/>
        </w:rPr>
        <w:t xml:space="preserve">  MasterCraft Boat Holdings,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2026-10-06 · Inspire: 66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Recreational Vehicles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Premium recreational boat maker (MasterCraft, Crest, NauticStar, Balise) with the 2025 Marine Products transaction expanding the portfolio.</w:t>
      </w:r>
    </w:p>
    <w:p>
      <w:r>
        <w:rPr>
          <w:rFonts w:ascii="Calibri" w:hAnsi="Calibri"/>
          <w:b/>
          <w:color w:val="6E8450"/>
          <w:sz w:val="18"/>
        </w:rPr>
        <w:t>https://www.mastercraft.com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2: the Marine Products transaction lifted FY2026 sales 22.8% to $348.9M (11.0% ex-transaction) [1]. AI 1: AI-driven SurfStar presets ship on current models [2]. Market share 1: leading premium wake boat brand without cited share data. Pipeline 2: redesigned X24 and 2026 lineup named [2]. R&amp;D 0: intensity not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2: the 'Making Boating Better' purpose is clear but not distinctive [3]. Community programs, retention and insider buying were not evidenced; Glassdoor shows a mixed picture, which is not scored [2]. Scored 0 on adds.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Calculated: ROE -0.6% scores 0 (2x); revenue growth 63.4% scores 1.0; forward P/E 9.6 scores 1.0; profit margin -0.5% scores 0. D/E, PEG and 5yr CAGR unavailable. Weighted 2.0/5 gives 4. Liquidity about $4.0M daily passes the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Well-run cyclical manufacturer with a product-focused culture, but purpose is a brand slogan and strategy follows the cycle and consolidation.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'Making Boating Better' is brand-level purpose without a larger idealistic cause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CEO succession in 2024 was orderly; Glassdoor sentiment is mixed with some leadership concerns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Competitive framing is share and dealer-network oriented; no explicit worthy-rival language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Portfolio expansion into Crest, NauticStar, Balise and Marine Products is meaningful but within boating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Brad Nelson's push for discipline and the Marine Products deal show some willingness to act through a downturn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FY2026 net sales were $348.9M (+22.8%), adjusted EBITDA $45.6M (+$21.2M) and adjusted EPS $1.76 vs $0.92, with Q4 revenue of $129.9M beating estimates [1]. At 9.6x forward earnings and a 63% revenue surge, a boating recovery plus Marine Products synergies could re-rate the stock.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GAAP profit margin is still slightly negative (-0.5%) and ROE is -0.6%, so earnings quality depends on adjustments. Discretionary boating is rate-sensitive and larger rivals discount aggressively [2]. Q3 growth slowed to 3%, and the stock sits below its 50-day average ($19.71 vs $22.81).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Marine Products integration synergies and cost savings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Interest-rate cuts reviving boat demand and dealer restocking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New model launches such as the redesigned X24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Prolonged high borrowing costs suppressing discretionary boat demand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Discounting from larger volume producers pressuring margins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Integration risk and negative GAAP earnings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Physical boat manufacturing is immune to AI substitution; risks are rates, consumer demand, and discounting by larger producers, not AI [2]. No AI revenue beyond product features, so the tiebreaker is 0.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66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MasterCraft Boat Holdings Reports Fiscal 2026 Results, Business Wire,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MasterCraft 2026 lineup and leadership disclosures; Glassdoor reviews,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MasterCraft Sustainability Report and investor materials,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via yfinance, MCFT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