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MCO</w:t>
      </w:r>
      <w:r>
        <w:rPr>
          <w:rFonts w:ascii="Calibri" w:hAnsi="Calibri"/>
          <w:b/>
          <w:color w:val="1A2010"/>
          <w:sz w:val="40"/>
        </w:rPr>
        <w:t xml:space="preserve">  Moody's Corporation</w:t>
      </w:r>
    </w:p>
    <w:p>
      <w:pPr>
        <w:spacing w:after="120"/>
      </w:pPr>
      <w:r>
        <w:rPr>
          <w:rFonts w:ascii="Calibri" w:hAnsi="Calibri"/>
          <w:b/>
          <w:color w:val="6E8450"/>
          <w:sz w:val="18"/>
        </w:rPr>
        <w:t>GROWTH SLEEVE · 2026-09-24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Stock Exchanges · NYSE · United States</w:t>
      </w:r>
    </w:p>
    <w:p>
      <w:pPr>
        <w:spacing w:after="80"/>
      </w:pPr>
      <w:r>
        <w:rPr>
          <w:rFonts w:ascii="Calibri" w:hAnsi="Calibri"/>
          <w:b w:val="0"/>
          <w:color w:val="3A4A28"/>
          <w:sz w:val="20"/>
        </w:rPr>
        <w:t>Moody's Corporation operates as an integrated risk assessment firm through two segments: Moody's Analytics (MA) and Moody's Investors Service (MIS). MA provides credit research, analytics, data sets, and cloud-based SaaS solutions for banking, insurance, and KYC workflows. MIS publishes credit ratings and assessment services on corporate, financial institution, governmental, and structured finance obligations. Q2 2026 delivered exceptional results with $2.185B revenue (+15% YoY), $5.03 diluted EPS (+57%), and 44% operating margins. Founded in 1900 and headquartered in New York.</w:t>
      </w:r>
    </w:p>
    <w:p>
      <w:r>
        <w:rPr>
          <w:rFonts w:ascii="Calibri" w:hAnsi="Calibri"/>
          <w:b/>
          <w:color w:val="6E8450"/>
          <w:sz w:val="18"/>
        </w:rPr>
        <w:t>16,000 Employees · https://www.moodys.com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Moody's has successfully transformed from a pure-play credit rating agency into an integrated analytics platform, with MA generating roughly half of total revenue through recurring subscriptions and ARR reaching $3.607B in Q1 2026 (+8% YoY) [1]. Q2 2026 accelerated to 15% total revenue growth with both segments contributing [2]. The appointment of Christina Kosmowski as new MA CEO in June 2026, specifically cited at 'the intersection of proprietary data and customer relationships where AI is fundamentally changing institutional decision-making,' signals continued strategic evolution [3]. AI Deployment (2/2): Featured in Harvard Business Review for going 'all in on Gen AI,' deploying Moody's Copilot across 14,000 employees with measurable productivity gains [4]. CEO Fauber has publicly positioned Moody's as an AI infrastructure provider for financial institutions, not merely a consumer of AI tools. Market Share (2/2): One of only three NRSROs globally (with S&amp;P and Fitch), maintaining oligopolistic market share in a deeply regulated industry with exceptionally high barriers to entry [1]. Product Pipeline (1/2): Building AI-enhanced risk assessment and KYC solutions including the Maxsight unified risk platform, though specific next-gen product launch timelines are not publicly detailed [1]. R&amp;D Intensity (1/1): Above-average technology investment for the financial data sector, with significant spending on AI infrastructure, cloud migration, and analytics platform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Moody's purpose — 'trusted insights and standards that help decision-makers act with confidence' — is clear and relevant to financial market integrity, but describes current function rather than an aspirational future state [5]. Community Impact (1/2): Moody's Foundation supports financial literacy and economic empowerment programs; included in FTSE4Good Index for seven consecutive years and ESG risk rating of 14.6 (low risk) from Sustainalytics [5]. Specific charitable dollar amounts or distinctive programs are not prominently featured. Employee Retention (1/2): Glassdoor rating of 3.8/5 with 74% recommending to a friend; certified as a Great Place to Work and named a Fortune Best Workplace in New York — above-average but not exceptional retention indicators for a major financial institution [4]. Insider Buying (0/2): Significant net insider selling over the past 12 months — zero insider buys against 6 insiders selling a combined $6.65M, including CEO Fauber selling approximately $3M [6]. This net selling at elevated valuations signals leadership may view the stock as fully priced.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Moody's delivers exceptional profitability — 34.25% net profit margin and 76.93% ROE reflect the high-margin, asset-light nature of credit ratings and data analytics [1]. Q2 2026 adjusted operating margin expanded 440bps to 55.3% [2]. Revenue growth accelerated to 15.1% YoY in TTM, with 5-year CAGR of approximately 9% [2]. Valuation has improved since the pullback from 52-week highs — forward P/E of 25.04x and PEG of 1.64 are more reasonable for a high-quality compounder, though still above the 20x target. D/E of 240.68% exceeds the 70% target, typical for asset-light financial services businesses that carry substantial goodwill from acquisitions (RMS, BvD). Full-year 2026 adjusted EPS guidance narrowed to $16.50-$17.00 with $2.5B in planned buybacks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Moody's 126-year history and successful evolution from a ratings publisher to an integrated analytics platform demonstrate genuine long-term orientation. The appointment of Christina Kosmowski to lead Moody's Analytics into the AI era shows forward-looking strategic thinking. However, significant insider selling, aggressive share buybacks ($2.5B in 2026), and elevated leverage suggest meaningful optimization for near-term shareholder returns alongside the long-term investment.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Moody's purpose of providing 'trusted insights and standards' reflects a genuine commitment to market transparency and informed decision-making, validated by 126 years of continuous operation through financial crises, world wars, and technological revolutions [5]. The ratings crisis of 2008 tested this purpose and Moody's responded with governance reforms. However, the purpose is more functional than aspirational — it describes what Moody's does rather than painting a vision of a future worth sacrificing for. The cause doesn't rise to the level of a competitive advantage in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Moody's earned Great Place to Work certification and Fortune Best Workplaces in New York recognition, with a Glassdoor rating of 3.8/5 and 74% recommendation rate [4]. CEO Fauber's decision to deploy AI tools directly to employees (Moody's Copilot across 14,000 staff) rather than using AI to replace them signals trust in the workforce. The external hire of Kosmowski for MA CEO brings fresh perspective while maintaining organizational stability. However, the culture appears solid rather than exceptional — no evidence of standout tenure or psychological safety practices.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Moody's operates in a constructive competitive dynamic with S&amp;P Global and Fitch. The strategic partnership with MSCI for ESG data — acknowledging MSCI's superior position in ESG ratings and choosing collaboration over competition — demonstrates an infinite mindset toward rivalry [5]. CEO Fauber's framing of 'being the disruptor rather than the disrupted' and the willingness to exit ESG ratings when a better player emerged shows competitive self-awareness focused on self-improvement rather than opponent destruction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Moody's has evolved significantly from a pure ratings publisher to an integrated analytics and SaaS platform, with MA now generating roughly half of total revenue through recurring subscriptions [1]. The acquisitions of RMS ($3.3B), BvD, and V.E. transformed the business mix, and the subsequent decision to partner with MSCI (exiting ESG ratings) shows willingness to abandon a business line when another player executes better. The appointment of a tech-focused MA CEO signals continued evolution. These are meaningful but incremental adaptations rather than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Fauber demonstrated courage by betting heavily on enterprise-wide AI adoption starting in 2023, before most financial services firms had committed — an investment featured as an HBR case study [4]. The decision to exit ESG ratings and partner with MSCI sacrificed revenue for strategic clarity. However, the company's $2.5B share repurchase program and significant insider selling ($6.65M by 6 insiders) suggest meaningful optimization for near-term shareholder returns over long-term balance sheet strength [2][6].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Moody's is a durable franchise operating in an oligopolistic market with only three major global credit rating agencies. Q2 2026 delivered exceptional results — $2.185B revenue (+15% YoY), diluted EPS of $5.03 (+57%), and adjusted EPS of $4.68 beating consensus by $0.40 [2]. Full-year 2026 guidance was narrowed to $16.50-$17.00 adjusted EPS with 52-53% adjusted operating margins. The company's early AI adoption — Moody's Copilot across 14,000 employees, featured as an HBR case study — positions it to drive margin expansion and differentiate its analytics offerings [4]. The appointment of Christina Kosmowski as MA CEO to lead AI-enabled innovation underscores the strategic commitment [3]. With $2.5B in planned buybacks, 17 consecutive years of dividend increases, and a regulatory moat that AI cannot replicate, Moody's remains a high-quality compounder.</w:t>
      </w:r>
    </w:p>
    <w:p>
      <w:pPr>
        <w:spacing w:after="120"/>
      </w:pPr>
      <w:r>
        <w:rPr>
          <w:rFonts w:ascii="Calibri" w:hAnsi="Calibri"/>
          <w:b w:val="0"/>
          <w:color w:val="3A4A28"/>
          <w:sz w:val="20"/>
        </w:rPr>
        <w:t>The bear case centers on premium valuation for a maturing growth story. At 37.2x trailing P/E, 30.3x forward P/E, and PEG of 2.48, investors pay heavily for the regulatory moat and recurring revenue model — any miss on the high-single-digit growth guidance would trigger meaningful multiple compression [1]. D/E of 222% leaves limited buffer if capital markets activity declines during a downturn, and the MIS segment's dependence on bond issuance volumes creates cyclical earnings volatility. Significant insider selling — $6.65M from 6 insiders with zero buys in the last 12 months — suggests leadership views the stock as fully valued at current levels [6]. The 5-year revenue CAGR of 7.5% is modest for a 37x earnings multiple, and the recent strength in Q2 was partially driven by a divestiture gain that may not recur. AI research from firms like scuttleblurb has explored potential 'limits of AI disruption' for Moody's and S&amp;P, suggesting the market may not be fully pricing disruption risk to the analytics segment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monetization through Moody's Copilot, AI-enhanced analytics, and the new MA CEO Kosmowski's mandate to accelerate AI innovation — could drive MA segment growth above the current 8% ARR trajectory [3][4]</w:t>
      </w:r>
    </w:p>
    <w:p>
      <w:pPr>
        <w:spacing w:before="40" w:after="40"/>
        <w:ind w:left="283"/>
      </w:pPr>
      <w:r>
        <w:rPr>
          <w:rFonts w:ascii="Calibri" w:hAnsi="Calibri"/>
          <w:b/>
          <w:color w:val="4A6B25"/>
          <w:sz w:val="20"/>
        </w:rPr>
        <w:t xml:space="preserve">2. </w:t>
      </w:r>
      <w:r>
        <w:rPr>
          <w:rFonts w:ascii="Calibri" w:hAnsi="Calibri"/>
          <w:b w:val="0"/>
          <w:color w:val="3A4A28"/>
          <w:sz w:val="20"/>
        </w:rPr>
        <w:t>Capital markets recovery driving increased bond issuance volumes, boosting the higher-margin MIS segment which generates outsized operating leverage on incremental revenue [2]</w:t>
      </w:r>
    </w:p>
    <w:p>
      <w:pPr>
        <w:spacing w:before="40" w:after="40"/>
        <w:ind w:left="283"/>
      </w:pPr>
      <w:r>
        <w:rPr>
          <w:rFonts w:ascii="Calibri" w:hAnsi="Calibri"/>
          <w:b/>
          <w:color w:val="4A6B25"/>
          <w:sz w:val="20"/>
        </w:rPr>
        <w:t xml:space="preserve">3. </w:t>
      </w:r>
      <w:r>
        <w:rPr>
          <w:rFonts w:ascii="Calibri" w:hAnsi="Calibri"/>
          <w:b w:val="0"/>
          <w:color w:val="3A4A28"/>
          <w:sz w:val="20"/>
        </w:rPr>
        <w:t>Margin expansion toward the 52-53% adjusted operating margin target as subscription mix increases and AI-driven automation reduces per-unit delivery costs — Q2 2026 operating income of $1.046B demonstrates the model's leverage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risk at 37.2x trailing P/E and 2.48x PEG with significant insider selling — any deceleration below the guided high-single-digit revenue growth or margin expansion targets could trigger a meaningful multiple compression from current elevated levels [1][6]</w:t>
      </w:r>
    </w:p>
    <w:p>
      <w:pPr>
        <w:spacing w:before="40" w:after="40"/>
        <w:ind w:left="283"/>
      </w:pPr>
      <w:r>
        <w:rPr>
          <w:rFonts w:ascii="Calibri" w:hAnsi="Calibri"/>
          <w:b/>
          <w:color w:val="4A6B25"/>
          <w:sz w:val="20"/>
        </w:rPr>
        <w:t xml:space="preserve">2. </w:t>
      </w:r>
      <w:r>
        <w:rPr>
          <w:rFonts w:ascii="Calibri" w:hAnsi="Calibri"/>
          <w:b w:val="0"/>
          <w:color w:val="3A4A28"/>
          <w:sz w:val="20"/>
        </w:rPr>
        <w:t>Regulatory disruption to the NRSRO oligopoly — any move by global regulators to reduce reliance on credit ratings or introduce additional designated agencies would erode Moody's pricing power and competitive moat</w:t>
      </w:r>
    </w:p>
    <w:p>
      <w:pPr>
        <w:spacing w:before="40" w:after="40"/>
        <w:ind w:left="283"/>
      </w:pPr>
      <w:r>
        <w:rPr>
          <w:rFonts w:ascii="Calibri" w:hAnsi="Calibri"/>
          <w:b/>
          <w:color w:val="4A6B25"/>
          <w:sz w:val="20"/>
        </w:rPr>
        <w:t xml:space="preserve">3. </w:t>
      </w:r>
      <w:r>
        <w:rPr>
          <w:rFonts w:ascii="Calibri" w:hAnsi="Calibri"/>
          <w:b w:val="0"/>
          <w:color w:val="3A4A28"/>
          <w:sz w:val="20"/>
        </w:rPr>
        <w:t>Capital markets cyclicality in the MIS segment, where a sustained downturn in bond issuance from rising rates, recession, or credit market dislocation could compress the highest-margin revenue stream and reverse the Q2 2026 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Moody's core ratings business is deeply protected by regulatory moats — it is one of only three NRSROs, and credit ratings are legally required for bond issuance, securitization, and bank capital calculations [1]. AI cannot replicate the regulatory designation, issuer relationships, or the 126-year trust foundation. The analytics segment benefits from proprietary data covering 300M+ entities. Fresh research argues Moody's ratings moat is 'relatively insulated from AI,' and CEO Fauber addressed the AI disruption debate at the Bernstein Strategic Decisions Conference, positioning Moody's as 'the disruptor rather than the disrupted' [3]. Some exposure exists in research functions where AI could reduce analyst headcount at client firms, but Moody's is positioned as the AI tool provider. AI Opportunity (1/1): Meaningful AI revenue generation through AI-enhanced analytics products, Moody's Copilot for internal productivity, and AI-powered KYC/risk assessment solutions sold to financial institutions. The appointment of Kosmowski as MA CEO specifically to drive AI-enabled innovation validates the commercial opportunity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Moody's Corporation Q1 2026 Earnings Release — Record Results with $2.08B Revenue, Adjusted EPS $4.33 (+13% YoY), April 2026</w:t>
      </w:r>
    </w:p>
    <w:p>
      <w:pPr>
        <w:spacing w:before="20" w:after="20"/>
        <w:ind w:left="170"/>
      </w:pPr>
      <w:r>
        <w:rPr>
          <w:rFonts w:ascii="Calibri" w:hAnsi="Calibri"/>
          <w:b/>
          <w:color w:val="4A6B25"/>
          <w:sz w:val="15"/>
        </w:rPr>
        <w:t xml:space="preserve">2. </w:t>
      </w:r>
      <w:r>
        <w:rPr>
          <w:rFonts w:ascii="Calibri" w:hAnsi="Calibri"/>
          <w:b w:val="0"/>
          <w:color w:val="3A4A28"/>
          <w:sz w:val="17"/>
        </w:rPr>
        <w:t>Moody's Corporation Q2 2026 Earnings Release — Revenue $2.185B (+15%), Diluted EPS $5.03 (+57%), Adjusted EPS $4.68, Guidance $16.50-$17.00, July 2026</w:t>
      </w:r>
    </w:p>
    <w:p>
      <w:pPr>
        <w:spacing w:before="20" w:after="20"/>
        <w:ind w:left="170"/>
      </w:pPr>
      <w:r>
        <w:rPr>
          <w:rFonts w:ascii="Calibri" w:hAnsi="Calibri"/>
          <w:b/>
          <w:color w:val="4A6B25"/>
          <w:sz w:val="15"/>
        </w:rPr>
        <w:t xml:space="preserve">3. </w:t>
      </w:r>
      <w:r>
        <w:rPr>
          <w:rFonts w:ascii="Calibri" w:hAnsi="Calibri"/>
          <w:b w:val="0"/>
          <w:color w:val="3A4A28"/>
          <w:sz w:val="17"/>
        </w:rPr>
        <w:t>Moody's Corporation AI Strategy and Leadership — CEO Fauber at Bernstein Conference, MA CEO Kosmowski Appointment, scuttleblurb AI Disruption Analysis, 2026</w:t>
      </w:r>
    </w:p>
    <w:p>
      <w:pPr>
        <w:spacing w:before="20" w:after="20"/>
        <w:ind w:left="170"/>
      </w:pPr>
      <w:r>
        <w:rPr>
          <w:rFonts w:ascii="Calibri" w:hAnsi="Calibri"/>
          <w:b/>
          <w:color w:val="4A6B25"/>
          <w:sz w:val="15"/>
        </w:rPr>
        <w:t xml:space="preserve">4. </w:t>
      </w:r>
      <w:r>
        <w:rPr>
          <w:rFonts w:ascii="Calibri" w:hAnsi="Calibri"/>
          <w:b w:val="0"/>
          <w:color w:val="3A4A28"/>
          <w:sz w:val="17"/>
        </w:rPr>
        <w:t>Harvard Business Review — 'How a Legacy Financial Institution Went All In on Gen AI' and Microsoft Developer Blog — 'Moody's Copilot Ignited AI Innovation,' 2025-2026</w:t>
      </w:r>
    </w:p>
    <w:p>
      <w:pPr>
        <w:spacing w:before="20" w:after="20"/>
        <w:ind w:left="170"/>
      </w:pPr>
      <w:r>
        <w:rPr>
          <w:rFonts w:ascii="Calibri" w:hAnsi="Calibri"/>
          <w:b/>
          <w:color w:val="4A6B25"/>
          <w:sz w:val="15"/>
        </w:rPr>
        <w:t xml:space="preserve">5. </w:t>
      </w:r>
      <w:r>
        <w:rPr>
          <w:rFonts w:ascii="Calibri" w:hAnsi="Calibri"/>
          <w:b w:val="0"/>
          <w:color w:val="3A4A28"/>
          <w:sz w:val="17"/>
        </w:rPr>
        <w:t>Moody's Corporation Website — Purpose, Sustainability, FTSE4Good Index, ESG Risk Rating 14.6,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SEC Form 4 Filings — MCO Insider Transactions, $6.65M in Selling from 6 Insiders with Zero Buys,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