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w:t>
      </w:r>
      <w:r>
        <w:rPr>
          <w:rFonts w:ascii="Calibri" w:hAnsi="Calibri"/>
          <w:b/>
          <w:color w:val="1A2010"/>
          <w:sz w:val="40"/>
        </w:rPr>
        <w:t xml:space="preserve">  Moelis &amp; Company</w:t>
      </w:r>
    </w:p>
    <w:p>
      <w:pPr>
        <w:spacing w:after="120"/>
      </w:pPr>
      <w:r>
        <w:rPr>
          <w:rFonts w:ascii="Calibri" w:hAnsi="Calibri"/>
          <w:b/>
          <w:color w:val="6E8450"/>
          <w:sz w:val="18"/>
        </w:rPr>
        <w:t>DIVIDEND SLEEVE · 2026-09-26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Moelis &amp; Company is a leading global independent investment bank providing strategic advisory services to corporations, financial sponsors, and governments across approximately 20 global offices. Founded by Ken Moelis in 2007 during the financial crisis, the firm specializes in mergers and acquisitions, recapitalizations, restructurings, and other corporate finance advisory services. Navid Mahmoodzadegan succeeded Ken Moelis as CEO effective October 1, 2025 and has publicly pledged to push workaholic 'hazing' culture out of the firm. The firm reported record Q2 2026 revenue of $409.4 million (+12% YoY) and H1 2026 revenue of $729.2 million (+9% YoY), and declared a quarterly dividend of $0.65 per share, an increase from the prior $0.60 rate.</w:t>
      </w:r>
    </w:p>
    <w:p>
      <w:r>
        <w:rPr>
          <w:rFonts w:ascii="Calibri" w:hAnsi="Calibri"/>
          <w:b/>
          <w:color w:val="6E8450"/>
          <w:sz w:val="18"/>
        </w:rPr>
        <w:t>1,416 Employees · https://www.moelis.com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Moelis expanded from pure M&amp;A advisory into restructuring, capital markets, and private capital advisory over the past 5 years, and the CEO transition from founder Ken Moelis to Navid Mahmoodzadegan (Oct. 2025) represents a shift toward a more scaled institutional model, but these are incremental extensions of the advisory model rather than transformative pivots [1]. AI Deployment (1/2): A Banker Innovation Committee oversees AI implementation across the firm for deal analysis and financial modeling, but no AI products are sold externally and no efficiency gains have been quantified publicly [2]. Market Share (1/2): Moelis remains a respected independent advisory player but ranks below Lazard, Evercore, and PJT Partners in league-table position [1]. Product Pipeline (0/2): No specific next-generation advisory products with defined timelines beyond general institutional expansion. R&amp;D Intensity (0/1): Not applicable for an advisory-fee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Moelis's stated commitment to 'fostering a collaborative and entrepreneurial environment that prioritizes exceptional client service and innovation' is generic professional-services language interchangeable with peer advisory firms [2]. Community Impact (0/2): No evidence of distinctive charitable giving or community investment programs beyond standard corporate social responsibility statements. Employee Retention (0/2): New CEO Mahmoodzadegan has publicly pledged to eliminate 'hazing' culture from the firm — a tacit acknowledgment of past cultural problems rather than evidence of strong current retention — and prior reporting described departures of experienced bankers amid the institutional-model shift [2][3]. Insider Buying (0/2): Ken Moelis, now executive chair, has a documented pattern of net share sales rather than purchases; no meaningful open-market insider buying was identified this cycle.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40.96% is well below the 70% target, consistent with the capital-light advisory model. ROE of 41.45% is nearly 3x the 15% target, and Forward P/E of 14.98 is comfortably below the 20 target. Revenue growth YoY of 12% (Q2 2026 record results) clears the 10% target [1]. Profit margin of 14.50% falls short of the 20% ideal, typical for advisory firms with high compensation ratios. Dividend metrics are mixed: the raised $0.65/quarter dividend (2x weight on consecutive years paid and 5yr growth CAGR) reflects renewed confidence, but the estimated ~88% payout ratio on trailing GAAP earnings remains elevated (target ≤40%), pulling down an otherwise strong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Moelis remains a fundamentally finite game player — a firm whose purpose is advisory fee generation without a deeper cause. The CEO transition from founder Ken Moelis to Navid Mahmoodzadegan has prioritized scaling the institutional model, though Mahmoodzadegan's public pledge to eliminate 'hazing' culture is a notable, if unproven, act of addressing organizational dysfunction rather than ignoring it. Record Q2 2026 revenue shows the business is performing well financially even amid the cultural transition, but the firm still lacks an articulated Just Cause beyond financial performance.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Moelis was founded on independent, unconflicted financial advice — Ken Moelis left UBS in 2007 to build a firm free from bulge-bracket conflicts — a genuine business-model differentiator but not a Sinek-style Just Cause describing a future state worth sacrificing to advance [1]. The shift toward a scaled institutional model under the new CEO further dilutes this differentiation toward 'be bigger' rather than 'be different.'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New CEO Mahmoodzadegan's explicit public pledge to push 'hazing' out of the firm's culture confirms that a low-trust, high-pressure environment existed under the prior regime [3]. While addressing the problem directly is a positive first step, there is not yet evidence the culture has actually changed, so the environment cannot yet be scored as adequate or high-trust.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pivot from boutique to institutional scale suggests Moelis is trying to compete with larger independent banks (Lazard, Evercore) by resembling them more closely, rather than using their strengths as motivation to sharpen its own distinctive boutique offering [2] — a 'be bigger to compete' approach that Sinek would characterize as finite.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Founding Moelis during the 2008 financial crisis was a genuine act of existential flexibility, and the firm has since navigated multiple M&amp;A cycles while maintaining an independent, capital-light advisory model [1]. The current institutional-scale pivot is incremental adaptation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Mahmoodzadegan's public commitment to eliminate hazing culture is a costly reputational bet — acknowledging past failures rather than protecting the firm's image — and the board's willingness to raise the dividend to $0.65/quarter even amid cultural transition signals confidence in sustained cash generation [2][3]. This is one meaningful example rather than a demonstrated pattern of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Moelis delivered record Q2 2026 revenue of $409.4M (+12% YoY) and H1 2026 revenue of $729.2M (+9% YoY), with the board raising the quarterly dividend to $0.65 per share, signaling confidence in the M&amp;A cycle recovery [1]. The forward P/E of 14.98 with a 4.43% dividend yield and 41.45% ROE offers value for an advisory firm operating with low leverage (D/E 40.96%), and new CEO Mahmoodzadegan's public commitment to reform the firm's workaholic culture addresses a real organizational risk head-on rather than ignoring it [2][3].</w:t>
      </w:r>
    </w:p>
    <w:p>
      <w:pPr>
        <w:spacing w:after="120"/>
      </w:pPr>
      <w:r>
        <w:rPr>
          <w:rFonts w:ascii="Calibri" w:hAnsi="Calibri"/>
          <w:b w:val="0"/>
          <w:color w:val="3A4A28"/>
          <w:sz w:val="20"/>
        </w:rPr>
        <w:t>The bear case centers on cultural transition risk and cyclicality. Mahmoodzadegan's public pledge to remove 'hazing' from the culture is itself an admission that the prior environment was dysfunctional, and it remains unproven whether the institutional-scale pivot will preserve the relationship-driven talent that built the firm's franchise [2][3]. The estimated 88% payout ratio on trailing GAAP earnings leaves thin dividend coverage if deal activity slows, and Ken Moelis's history as a net seller of shares raises alignment questions even as he remains executive chair. AI tools for financial modeling and due diligence could structurally reduce demand for junior bankers over time, and any reversal in the current M&amp;A recovery would quickly compress advisory fee revenue as it has in prior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H1 2026 revenue and pipeline strength converting into a strong H2, potentially driving full-year results that justify a re-rating from the current 14.98x forward P/E [1]</w:t>
      </w:r>
    </w:p>
    <w:p>
      <w:pPr>
        <w:spacing w:before="40" w:after="40"/>
        <w:ind w:left="283"/>
      </w:pPr>
      <w:r>
        <w:rPr>
          <w:rFonts w:ascii="Calibri" w:hAnsi="Calibri"/>
          <w:b/>
          <w:color w:val="4A6B25"/>
          <w:sz w:val="20"/>
        </w:rPr>
        <w:t xml:space="preserve">2. </w:t>
      </w:r>
      <w:r>
        <w:rPr>
          <w:rFonts w:ascii="Calibri" w:hAnsi="Calibri"/>
          <w:b w:val="0"/>
          <w:color w:val="3A4A28"/>
          <w:sz w:val="20"/>
        </w:rPr>
        <w:t>Successful culture reform under CEO Mahmoodzadegan retaining senior banking talent through the institutional-model transition, preserving the relationship-driven franchise value [2][3]</w:t>
      </w:r>
    </w:p>
    <w:p>
      <w:pPr>
        <w:spacing w:before="40" w:after="40"/>
        <w:ind w:left="283"/>
      </w:pPr>
      <w:r>
        <w:rPr>
          <w:rFonts w:ascii="Calibri" w:hAnsi="Calibri"/>
          <w:b/>
          <w:color w:val="4A6B25"/>
          <w:sz w:val="20"/>
        </w:rPr>
        <w:t xml:space="preserve">3. </w:t>
      </w:r>
      <w:r>
        <w:rPr>
          <w:rFonts w:ascii="Calibri" w:hAnsi="Calibri"/>
          <w:b w:val="0"/>
          <w:color w:val="3A4A28"/>
          <w:sz w:val="20"/>
        </w:rPr>
        <w:t>Continued M&amp;A cycle recovery and expansion into private capital advisory diversifying revenue beyond traditional M&amp;A, reducing cyclical earnings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Unproven culture reform under new leadership — the CEO's public 'hazing' pledge confirms past dysfunction, and failure to retain senior bankers during the institutional-scale pivot would erode the firm's core relationship-driven advantage [2][3]</w:t>
      </w:r>
    </w:p>
    <w:p>
      <w:pPr>
        <w:spacing w:before="40" w:after="40"/>
        <w:ind w:left="283"/>
      </w:pPr>
      <w:r>
        <w:rPr>
          <w:rFonts w:ascii="Calibri" w:hAnsi="Calibri"/>
          <w:b/>
          <w:color w:val="4A6B25"/>
          <w:sz w:val="20"/>
        </w:rPr>
        <w:t xml:space="preserve">2. </w:t>
      </w:r>
      <w:r>
        <w:rPr>
          <w:rFonts w:ascii="Calibri" w:hAnsi="Calibri"/>
          <w:b w:val="0"/>
          <w:color w:val="3A4A28"/>
          <w:sz w:val="20"/>
        </w:rPr>
        <w:t>Elevated ~88% payout ratio on trailing earnings leaves limited dividend cushion if a cyclical M&amp;A downturn compresses fee revenue, as occurred in the 2022-2023 downturn</w:t>
      </w:r>
    </w:p>
    <w:p>
      <w:pPr>
        <w:spacing w:before="40" w:after="40"/>
        <w:ind w:left="283"/>
      </w:pPr>
      <w:r>
        <w:rPr>
          <w:rFonts w:ascii="Calibri" w:hAnsi="Calibri"/>
          <w:b/>
          <w:color w:val="4A6B25"/>
          <w:sz w:val="20"/>
        </w:rPr>
        <w:t xml:space="preserve">3. </w:t>
      </w:r>
      <w:r>
        <w:rPr>
          <w:rFonts w:ascii="Calibri" w:hAnsi="Calibri"/>
          <w:b w:val="0"/>
          <w:color w:val="3A4A28"/>
          <w:sz w:val="20"/>
        </w:rPr>
        <w:t>AI-powered financial modeling and due diligence automation could structurally reduce demand for junior bankers and compress advisory fee pools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core value of M&amp;A advisory is relationship-driven — access to CEOs, boards, and PE sponsors, trusted counsel on complex strategic transactions, and negotiation skill that AI cannot replicate [2]. Regulatory complexity, deal confidentiality, and the bespoke nature of advisory mandates create structural moats. However, AI tools for financial modeling, due diligence, and deal sourcing could reduce demand for junior bankers, pressuring the fee economics of advisory over time, and AI-powered deal-matching platforms represent an emerging competitive threat. No analyst has specifically flagged Moelis for near-term AI disruption. AI Opportunity (0/1): The Banker Innovation Committee deploys AI internally, but no quantifiable AI-related revenue or efficiency gains have been reported publicly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Moelis &amp; Company Q2/H1 2026 Earnings Release — Record Revenue $409.4M, Dividend Increase to $0.65/Share, July 2026</w:t>
      </w:r>
    </w:p>
    <w:p>
      <w:pPr>
        <w:spacing w:before="20" w:after="20"/>
        <w:ind w:left="170"/>
      </w:pPr>
      <w:r>
        <w:rPr>
          <w:rFonts w:ascii="Calibri" w:hAnsi="Calibri"/>
          <w:b/>
          <w:color w:val="4A6B25"/>
          <w:sz w:val="15"/>
        </w:rPr>
        <w:t xml:space="preserve">2. </w:t>
      </w:r>
      <w:r>
        <w:rPr>
          <w:rFonts w:ascii="Calibri" w:hAnsi="Calibri"/>
          <w:b w:val="0"/>
          <w:color w:val="3A4A28"/>
          <w:sz w:val="17"/>
        </w:rPr>
        <w:t>Moelis &amp; Company Banker Innovation Committee and AI Deployment Coverage,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 'Moelis CEO Mahmoodzadegan Pledges to Push Hazing Out of Banking Culture', June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MC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