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MDLZ</w:t>
      </w:r>
      <w:r>
        <w:rPr>
          <w:rFonts w:ascii="Calibri" w:hAnsi="Calibri"/>
          <w:b/>
          <w:color w:val="1A2010"/>
          <w:sz w:val="40"/>
        </w:rPr>
        <w:t xml:space="preserve">  Mondelez International, Inc.</w:t>
      </w:r>
    </w:p>
    <w:p>
      <w:pPr>
        <w:spacing w:after="120"/>
      </w:pPr>
      <w:r>
        <w:rPr>
          <w:rFonts w:ascii="Calibri" w:hAnsi="Calibri"/>
          <w:b/>
          <w:color w:val="6E8450"/>
          <w:sz w:val="18"/>
        </w:rPr>
        <w:t>DIVIDEND SLEEVE · 2026-10-10 · Inspire: 47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Confectioners · NMS · United States</w:t>
      </w:r>
    </w:p>
    <w:p>
      <w:pPr>
        <w:spacing w:after="80"/>
      </w:pPr>
      <w:r>
        <w:rPr>
          <w:rFonts w:ascii="Calibri" w:hAnsi="Calibri"/>
          <w:b w:val="0"/>
          <w:color w:val="3A4A28"/>
          <w:sz w:val="20"/>
        </w:rPr>
        <w:t>Mondelez International manufactures, markets, and sells snack food and beverage products globally, operating iconic brands including Oreo, Cadbury, Milka, Toblerone, CLIF Bar, Ritz, and Tate's Bake Shop. The company generates TTM revenue of approximately $39.7B with an 8.9% profit margin across biscuits, chocolate, gum, candy, and powdered beverages sold in over 150 countries. Formerly Kraft Foods Inc., renamed in October 2012, headquartered in Chicago with 91,000 employees.</w:t>
      </w:r>
    </w:p>
    <w:p>
      <w:r>
        <w:rPr>
          <w:rFonts w:ascii="Calibri" w:hAnsi="Calibri"/>
          <w:b/>
          <w:color w:val="6E8450"/>
          <w:sz w:val="18"/>
        </w:rPr>
        <w:t>91,000 Employees · https://www.mondelezinternational.com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Mondelez executed a series of strategic acquisitions expanding into new revenue categories — CLIF Bar ($2.9B, 2022) opened performance nutrition, Ricolino ($1.3B, 2023) expanded Latin American confectionery, and Chipita added European baked snacks [1][2]. These are meaningful portfolio extensions but incremental rather than transformative, building on the existing snacking platform. AI Deployment (0/2): The company maintains an internal AI Community of Practice and AIDA generative AI marketing tool, but no AI-powered products ship to consumers and no quantified AI-driven revenue has been disclosed [4]. Market Share (2/2): Mondelez is the world's #1 snacking company — Oreo is the best-selling cookie brand globally, Cadbury leads UK chocolate, Milka leads European chocolate [1][2]. Q1 2026 net revenue grew 8.2% to $10.1B and management raised 2026 organic growth guidance to at least 2%, reflecting resilient share positions despite cocoa cost inflation. Product Pipeline (0/2): Innovation is incremental — new flavors, formats, and brand extensions — with no next-generation products announced with specific timelines. R&amp;D Intensity (0/1): CPG R&amp;D intensity typically runs below 2% of revenue, and Mondelez's spending is at or below sector average.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Mondelez's purpose — 'Empowering people to snack right' — is clear and specific to its category but lacks the depth or transformative vision that would distinguish it as genuinely inspiring beyond standard CPG messaging [4]. Community Impact (1/2): The Cocoa Life program has invested over $1B over a decade reaching 200,000+ cocoa farmers across six countries, but Rainforest Action Network gave Mondelez an 'F' grade on deforestation and alleged the company lobbied to delay EU deforestation regulations, creating tension between stated and observed impact [5]. Employee Retention (1/2): Comparably data shows 76% of employees believe they have meaningful career advancement opportunities, and CEO Dirk Van de Put's nine-year tenure (since 2017) provides leadership stability, but no specific voluntary turnover data distinguishes Mondelez from industry norms [4]. Insider Buying (0/2): No evidence of meaningful net insider buying by the CEO or senior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D/E of 82.6% scores 0.95 (target 70%, floor 300%) [3]. ROE of 13.3% scores 0.89 (target 15%, floor 0%) [3]. Revenue growth YoY of 4.1% scores 0.80 (target 10%, floor -20%) [1]. Revenue growth 5yr CAGR of 6.6% scores 0.77 (target 10%, floor -5%). Forward P/E of 18.0 scores 1.0 (target 20, floor 60) [3]. Profit margin of 8.9% scores 0.44 (target 20%, floor 0%), depressed by cocoa cost inflation [3]. Payout ratio of 73.5% scores 0.44 (target 40%, floor 100%) at 1x weight [3]. Consecutive years paid of 14 scores 1.0 at 2x weight. Consecutive years growth of 14 scores 1.0 at 1x weight. 5yr dividend growth CAGR of 9.3% scores 1.0 at 2x weight [3]. Weighted sum: 0.95+0.89+0.80+0.77+1.0+0.44+0.44+(2x1.0)+1.0+(2x1.0) = 10.29. Max 12. Score: 10.29/12 x 10 = 8.6, rounds to 9. Daily dollar volume of ~$498M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Mondelez demonstrates mixed infinite/finite tendencies. CEO Dirk Van de Put has provided consistent strategic direction since 2017, reshaping the portfolio toward higher-growth snacking categories through deliberate acquisitions while exiting non-core businesses. However, the company's purpose lacks the transformative depth of a true Just Cause, and the persistent gap between sustainability messaging ($1B Cocoa Life investment) and supply chain reality (RAN deforestation 'F' grade, child labor allegations) suggests finite-game optimization of reputation over substantive action.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'Empowering people to snack right' is a business-focused purpose that identifies what Mondelez does but reads as marketing rather than a vision of a future state so compelling people would sacrifice to advance it [4]. The purpose doesn't visibly shape capital allocation — the company simultaneously grows indulgent chocolate and candy with equal vigor as healthier snacking. Leadership doesn't reference it in strategic decisions in ways suggesting it drives behavior beyond brand positioning.</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Mondelez maintains adequate organizational stability with 76% of employees reporting meaningful career advancement opportunities per Comparably [4]. CEO Van de Put's nine-year tenure provides leadership continuity, and the company culture emphasizes mentorship and cross-functional development. However, no evidence of exceptional trust, empowerment, or below-average voluntary turnover distinguishes Mondelez from CPG industry norms, and the disconnect between corporate sustainability messaging and supply chain controversies may erode internal credibility [5].</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Mondelez's competitive language focuses on growing the global snacking category rather than destroying rivals. Management discusses Nestle, Mars, Hershey, and PepsiCo as participants in an expanding $1.5T+ snacking market, framing competition as motivation to improve brand investment and innovation [1][2]. Van de Put consistently positions strategy around category growth and consumer occasions rather than competitive displacement.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Mondelez was born from Kraft Foods' 2012 decision to split into a focused global snacking company and a North American grocery business. Since then, the company divested its coffee business (JDE Peet's), acquired CLIF Bar to enter performance nutrition, and added Ricolino and Chipita to expand geographically [1]. These moves demonstrate strategic evolution within snacking but are incremental pivots rather than transformative reinventions of the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Van de Put invested $2.9B in CLIF Bar during market uncertainty and committed $1B+ to Cocoa Life over a decade, demonstrating willingness to make significant long-term bets [1]. The company maintained R&amp;D and marketing investment through cocoa cost inflation rather than cutting to protect margins. However, the persistent failure to resolve supply chain controversies — child labor lawsuits, RAN's 'F' deforestation grade — despite massive stated investment suggests leadership chose reputational management over the costly decisive action that Sinek's courage framework demands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Mondelez at $60.41 with a $77B market cap is the world's leading pure-play snacking company offering a 3.44% dividend yield at a forward P/E of 18.0x, backed by a world-class brand portfolio generating $39.7B in trailing revenue across 150 countries [1][3]. Q1 2026 net revenue grew 8.2% to $10.1B with adjusted EPS of $0.67 beating consensus by 10%, and Q2 delivered $9.36B with adjusted EPS of $0.73 again topping estimates, prompting management to raise organic growth guidance to at least 2% [1][2]. The dividend has grown at a 9.3% 5-year CAGR with 14 consecutive years of increases since the Kraft spin-off, and forward PEG of 0.9 suggests reasonable valuation for a defensive compounder with emerging-market growth optionality (40%+ of revenue from developing markets) [3].</w:t>
      </w:r>
    </w:p>
    <w:p>
      <w:pPr>
        <w:spacing w:after="120"/>
      </w:pPr>
      <w:r>
        <w:rPr>
          <w:rFonts w:ascii="Calibri" w:hAnsi="Calibri"/>
          <w:b w:val="0"/>
          <w:color w:val="3A4A28"/>
          <w:sz w:val="20"/>
        </w:rPr>
        <w:t>The bear case centers on anemic organic growth and margin fragility. Organic revenue growth of 2-3% is driven almost entirely by pricing with volumes flat to declining (-0.5% in Q1 2026), raising sustainability concerns as consumers trade down amid food inflation [1][2]. Profit margin of 8.9% is well below CPG peers, compressed by cocoa cost volatility that shows intermittent relief but no structural resolution — chocolate represents ~30% of revenue, creating permanent commodity exposure. The 73.5% GAAP payout ratio leaves limited margin of safety for the dividend if earnings deteriorate, and D/E of 82.6% constrains balance sheet flexibility. ESG controversies — RAN's 'F' deforestation grade, child labor allegations in cocoa supply chains, and lobbying against EU deforestation regulations — create reputational and legal risk for a brand-dependent business [5]. The GAAP EPS growth of 144.9% reflects base-effect distortion from prior-year impairment charges rather than operational improvement.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Emerging market growth acceleration — Mondelez derives 40%+ of revenue from developing markets where snacking per capita is growing 2-3x developed market rates, with the Ricolino acquisition adding $1.5B+ in Latin American revenue [1][2]</w:t>
      </w:r>
    </w:p>
    <w:p>
      <w:pPr>
        <w:spacing w:before="40" w:after="40"/>
        <w:ind w:left="283"/>
      </w:pPr>
      <w:r>
        <w:rPr>
          <w:rFonts w:ascii="Calibri" w:hAnsi="Calibri"/>
          <w:b/>
          <w:color w:val="4A6B25"/>
          <w:sz w:val="20"/>
        </w:rPr>
        <w:t xml:space="preserve">2. </w:t>
      </w:r>
      <w:r>
        <w:rPr>
          <w:rFonts w:ascii="Calibri" w:hAnsi="Calibri"/>
          <w:b w:val="0"/>
          <w:color w:val="3A4A28"/>
          <w:sz w:val="20"/>
        </w:rPr>
        <w:t>Cocoa cost normalization — if prices retreat sustainably from recent highs, gross margin recovery could add 200-300bps to profit margins, flowing directly to earnings given CPG operating leverage and reducing the payout ratio below 60% [1]</w:t>
      </w:r>
    </w:p>
    <w:p>
      <w:pPr>
        <w:spacing w:before="40" w:after="40"/>
        <w:ind w:left="283"/>
      </w:pPr>
      <w:r>
        <w:rPr>
          <w:rFonts w:ascii="Calibri" w:hAnsi="Calibri"/>
          <w:b/>
          <w:color w:val="4A6B25"/>
          <w:sz w:val="20"/>
        </w:rPr>
        <w:t xml:space="preserve">3. </w:t>
      </w:r>
      <w:r>
        <w:rPr>
          <w:rFonts w:ascii="Calibri" w:hAnsi="Calibri"/>
          <w:b w:val="0"/>
          <w:color w:val="3A4A28"/>
          <w:sz w:val="20"/>
        </w:rPr>
        <w:t>Dividend growth compounding — 14-year track record of annual increases with 9.3% 5yr CAGR, supported by management commitment to mid-single-digit annual raises and $2B+ free cash flow generation, at a forward PEG of 0.9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Volume erosion from aggressive pricing — Q1 2026 showed -0.5% volume/mix against +3.5% pricing, indicating consumers are reducing consumption in response to repeated price increases, risking permanent demand destruction in price-sensitive categories [1]</w:t>
      </w:r>
    </w:p>
    <w:p>
      <w:pPr>
        <w:spacing w:before="40" w:after="40"/>
        <w:ind w:left="283"/>
      </w:pPr>
      <w:r>
        <w:rPr>
          <w:rFonts w:ascii="Calibri" w:hAnsi="Calibri"/>
          <w:b/>
          <w:color w:val="4A6B25"/>
          <w:sz w:val="20"/>
        </w:rPr>
        <w:t xml:space="preserve">2. </w:t>
      </w:r>
      <w:r>
        <w:rPr>
          <w:rFonts w:ascii="Calibri" w:hAnsi="Calibri"/>
          <w:b w:val="0"/>
          <w:color w:val="3A4A28"/>
          <w:sz w:val="20"/>
        </w:rPr>
        <w:t>ESG litigation and regulatory escalation — child labor lawsuits, RAN 'F' deforestation grade, and pending EU deforestation regulations could trigger settlements, compliance costs, and institutional investor divestment for a brand-dependent business [5]</w:t>
      </w:r>
    </w:p>
    <w:p>
      <w:pPr>
        <w:spacing w:before="40" w:after="40"/>
        <w:ind w:left="283"/>
      </w:pPr>
      <w:r>
        <w:rPr>
          <w:rFonts w:ascii="Calibri" w:hAnsi="Calibri"/>
          <w:b/>
          <w:color w:val="4A6B25"/>
          <w:sz w:val="20"/>
        </w:rPr>
        <w:t xml:space="preserve">3. </w:t>
      </w:r>
      <w:r>
        <w:rPr>
          <w:rFonts w:ascii="Calibri" w:hAnsi="Calibri"/>
          <w:b w:val="0"/>
          <w:color w:val="3A4A28"/>
          <w:sz w:val="20"/>
        </w:rPr>
        <w:t>Cocoa commodity exposure — chocolate represents ~30% of revenue with no fully effective hedging strategy, leaving the P&amp;L structurally exposed to multi-year cocoa price cycles that have compressed profit margins to 8.9% vs CPG norms of 12-15%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Mondelez's core business — manufacturing and distributing physical snack products (cookies, chocolate, gum) — is structurally immune to AI substitution. Consumers require physical food products regardless of AI advances, and the company's competitive advantages rest on brand equity built over decades (Oreo since 1912, Cadbury since 1824), proprietary recipes, global manufacturing scale, and physical distribution infrastructure that AI cannot replicate [1][3]. The primary risk vector is AI-enabled disruption of marketing and retail channels, but this affects all CPG companies and does not threaten core demand. AI Opportunity (0/1): Mondelez uses AI internally — AIDA for marketing content, demand forecasting, Digital Twin manufacturing — but generates no quantifiable revenue from AI-powered products sold to consumers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Mondelez International Q1 FY2026 Earnings Release — Net Revenue $10.1B (+8.2% YoY), Organic Growth 3.0%, Adjusted EPS $0.67 (Beat by 10%), SEC Form 8-K, April 2026</w:t>
      </w:r>
    </w:p>
    <w:p>
      <w:pPr>
        <w:spacing w:before="20" w:after="20"/>
        <w:ind w:left="170"/>
      </w:pPr>
      <w:r>
        <w:rPr>
          <w:rFonts w:ascii="Calibri" w:hAnsi="Calibri"/>
          <w:b/>
          <w:color w:val="4A6B25"/>
          <w:sz w:val="15"/>
        </w:rPr>
        <w:t xml:space="preserve">2. </w:t>
      </w:r>
      <w:r>
        <w:rPr>
          <w:rFonts w:ascii="Calibri" w:hAnsi="Calibri"/>
          <w:b w:val="0"/>
          <w:color w:val="3A4A28"/>
          <w:sz w:val="17"/>
        </w:rPr>
        <w:t>Mondelez International Q2 FY2026 Earnings Release — Net Revenue $9.36B (+4.1% YoY), Organic Growth 2.2%, Adjusted EPS $0.73, Guidance Raised to At Least +2% Organic, July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MDLZ Key Statistics: Price $60.41, Forward P/E 18.0, PEG 0.9, D/E 82.6%, ROE 13.3%, Dividend Yield 3.44%,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Mondelez International Corporate Website and Built In Profiles — Mission, AI Community of Practice, AIDA Tool, Career Development,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Rainforest Action Network — Deforestation and Supply Chain Allegations, RAN 'F' Grade, Child Labor Lawsuits, EU Deforestation Regulation Lobbying, 2023-2026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