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MDT</w:t>
      </w:r>
      <w:r>
        <w:rPr>
          <w:rFonts w:ascii="Calibri" w:hAnsi="Calibri"/>
          <w:b/>
          <w:color w:val="1A2010"/>
          <w:sz w:val="40"/>
        </w:rPr>
        <w:t xml:space="preserve">  Medtronic plc</w:t>
      </w:r>
    </w:p>
    <w:p>
      <w:pPr>
        <w:spacing w:after="120"/>
      </w:pPr>
      <w:r>
        <w:rPr>
          <w:rFonts w:ascii="Calibri" w:hAnsi="Calibri"/>
          <w:b/>
          <w:color w:val="6E8450"/>
          <w:sz w:val="18"/>
        </w:rPr>
        <w:t>DIVIDEND SLEEVE · 2026-10-16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 Ireland</w:t>
      </w:r>
    </w:p>
    <w:p>
      <w:pPr>
        <w:spacing w:after="80"/>
      </w:pPr>
      <w:r>
        <w:rPr>
          <w:rFonts w:ascii="Calibri" w:hAnsi="Calibri"/>
          <w:b w:val="0"/>
          <w:color w:val="3A4A28"/>
          <w:sz w:val="20"/>
        </w:rPr>
        <w:t>Medtronic develops, manufactures, and sells device-based medical therapies to healthcare systems, physicians, clinicians, and patients worldwide. The company operates across four segments — Cardiovascular, Neuroscience, Medical Surgical, and Diabetes — generating TTM revenue of $37.5B with a 13.9% profit margin. Founded in 1949 and operationally headquartered in Minneapolis, Medtronic posted Q1 FY2027 revenue of $9.8B (up 13.7% YoY) and FY2026 full-year revenue of $36.4B (up 8.4% as reported), the strongest annual top-line growth in a decade.</w:t>
      </w:r>
    </w:p>
    <w:p>
      <w:r>
        <w:rPr>
          <w:rFonts w:ascii="Calibri" w:hAnsi="Calibri"/>
          <w:b/>
          <w:color w:val="6E8450"/>
          <w:sz w:val="18"/>
        </w:rPr>
        <w:t>95,000 Employees · https://www.medtronic.com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Medtronic executed multiple significant product launches over the past five years, including the PulseSelect pulsed field ablation (PFA) system that drove Cardiac Ablation Solutions revenue up 78% in Q4 FY2026, the Hugo robotic-assisted surgery platform expanding to new surgical specialties, the GI Genius AI-powered polyp detection module for colonoscopy, and the MiniMed 780G advanced insulin pump with adaptive algorithm technology [1][2]. These represent meaningful new revenue streams but not a full company-defining transformation. AI Deployment (1/2): GI Genius is shipping to hospitals globally as the first FDA-cleared AI tool for real-time colonoscopy assistance, and AI-enabled adaptive algorithms power insulin dosing in the MiniMed platform [3]. Medtronic created a Chief AI Officer role and Center of Excellence requiring every business unit to identify AI use cases, with internal applications in manufacturing quality control and supply-chain optimization [3]. However, no standalone AI revenue figures have been disclosed. Market Share (2/2): Medtronic is the world's largest pure-play medical device company by revenue, maintaining category leadership across cardiac rhythm management, spinal surgery, and surgical robotics, with the PFA launch rapidly capturing share in the high-growth cardiac ablation market [1][2]. Product Pipeline (1/2): Medtronic is expanding the Hugo robotic platform, advancing next-generation PFA catheters, and pursuing the planned MiniMed diabetes business spinoff, but specific next-gen product launch timelines are less granular than peers like Boston Scientific [4]. R&amp;D Intensity (1/1): R&amp;D spending of approximately $2.8B represents ~7.7% of revenue, above the medical device industry average of 6-7%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Medtronic's mission — 'To contribute to human welfare by application of biomedical engineering in the research, design, manufacture, and sale of instruments or appliances that alleviate pain, restore health, and extend life' — was written by founder Earl Bakken in 1960 and has been the company's North Star for over 65 years [5]. This mission has survived six CEO transitions, multiple industry disruptions, and the transformative $50B Covidien merger, consistently guiding strategic decisions from the first wearable pacemaker to today's AI-enabled surgical robots. It is one of the most cited corporate mission statements in business literature and demonstrates the rare quality of a purpose that IS the competitive advantage. Community Impact (1/2): The Medtronic Foundation has committed to expanding healthcare access in underserved communities through programs like the Medtronic Labs social enterprise and STEM education initiatives, but specific recent dollar amounts for charitable giving were not identified in research [5]. Employee Retention (0/2): Glassdoor reviews describe a mixed culture with praise for the mission and benefits offset by complaints about slow decision-making, frequent reorganizations, and top-heavy bureaucracy; no specific voluntary turnover or average tenure data distinguishes Medtronic from industry norms [3]. Insider Buying (0/2): No evidence of meaningful net insider buying by CEO Geoff Martha or senior executives in the last 12 months; insider transactions appear dominated by routine compensation-plan sales.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Medtronic's balance sheet is conservatively leveraged with D/E of 55.4% (score 1.0), well below the 70% target, providing financial flexibility for acquisitions and R&amp;D investment [1]. Forward P/E of 14.9 is attractively below the 20 target (score 1.0), reflecting reasonable valuation for a large-cap med-tech leader with accelerating growth. Revenue growth of 13.7% YoY in Q1 FY2027 exceeds the 10% target (score 1.0), driven by PFA adoption and broad-based segment strength, though the 5-year revenue CAGR of approximately 3.9% (score 0.59) reflects several years of mid-single-digit organic growth before the current acceleration [1][2]. ROE of 10.6% (score 0.71) falls below the 15% target, weighed down by the large goodwill balance from the Covidien acquisition, and profit margin of 13.9% (score 0.70) reflects the cost structure of a diversified device manufacturer. Dividend durability is exceptional: 47 consecutive years of increases (score 1.0, 1x weight) and 47 consecutive years paid (score 1.0, 2x weight), with payout ratio of 70% (score 0.50) above the 40% target and 5-year dividend growth CAGR of approximately 3.8% (score 0.63, 2x weight) trailing the 6% target. Daily dollar volume of $1.48B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Medtronic operates with a genuine Just Cause rooted in Earl Bakken's 1960 mission to alleviate pain, restore health, and extend life — a purpose validated by 65+ years of consistent execution through six CEO transitions and multiple industry transformations from the first wearable pacemaker to today's AI-enabled surgical robots. Under CEO Geoff Martha, the company is investing in transformative technologies like PFA and robotic surgery while pursuing the strategic MiniMed spinoff, but the bureaucratic organizational culture, frequent reorganizations, and finite-game language around market share and competitive positioning prevent it from reaching a truly infinite mindset.</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Medtronic's mission — 'alleviate pain, restore health, and extend life' — has been the company's strategic North Star for 65+ years, surviving six CEO transitions including the current Geoff Martha era, the transformative $50B Covidien merger, and multiple industry disruptions [5]. The mission shaped the company's evolution from a single-product pacemaker repair shop to the world's largest medical device company, and it continues to drive capital allocation decisions: the Hugo surgical robot, PFA cardiac ablation, and AI-powered diagnostic tools all trace directly to this cause. Sinek would cite Medtronic alongside NVDA as a company where the purpose IS the competitive advantage — the mission attracts mission-driven engineers and clinicians who build products that save lives.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Medtronic maintains stable senior leadership under Geoff Martha (CEO since 2020) with consistent executive tenure across business segments, and the company's mission-driven culture attracts employees who cite the life-saving impact of their work as a retention factor [3][5]. However, Glassdoor reviews consistently describe slow decision-making, top-heavy management, frequent organizational restructurings, and siloed business units that create internal friction — issues typical of a 95,000-employee global enterprise but inconsistent with Sinek's Circle of Safety ideal where employees feel empowered to take risks without fear of bureaucratic reprisal.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Medtronic's competitive language is predominantly finite — earnings calls and investor presentations focus on 'market share gains,' 'competitive wins,' and 'category leadership' rather than self-improvement driven by rivals' strengths [1][2]. While the company competes vigorously with Boston Scientific, Abbott, and Johnson &amp; Johnson, there is no evidence of management acknowledging specific competitor strengths as motivation to improve or framing competitive pressure through an infinite lens of mutual elevation.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Medtronic has evolved meaningfully over its history — from a pacemaker repair company to a diversified med-tech leader spanning cardiac, neuroscience, surgical, and diabetes segments — and the planned MiniMed diabetes business spinoff demonstrates willingness to restructure the portfolio in service of long-term focus [4]. The push into robotic surgery and AI-enabled diagnostics shows adaptation to technology shifts. However, these represent incremental evolution within medical devices rather than the transformative, cause-driven pivots Sinek rewards at the highest level — Medtronic has never abandoned a core business the way Apple abandoned the iPod or NVDA pivoted from gaming to AI.</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Geoff Martha has made some courageous bets since taking over in 2020: investing heavily in the Hugo robotic surgery platform despite years of operating losses and limited market share versus Intuitive Surgical, pursuing the PulseSelect PFA technology that is now driving 78% growth in cardiac ablation, and initiating the strategic MiniMed spinoff to sharpen portfolio focus [1][2][4]. However, these decisions occurred during a period of industry tailwinds in medical technology, and Medtronic has not demonstrated the pattern of costly long-term bets during adversity — choosing right over easy — that earns the full 2 points.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Medtronic at $95.45 with a $122B market cap is the world's largest pure-play medical device company executing its strongest growth in a decade — FY2026 revenue reached $36.4B (up 8.4% as reported, 5.8% organic), followed by Q1 FY2027 revenue of $9.8B (up 13.7% YoY), with management raising FY2027 organic growth guidance to 7.25-7.75% and non-GAAP EPS guidance to $5.94-$6.00 [1][2]. The PulseSelect PFA system is transforming the cardiac ablation market with 78% revenue growth, Hugo robotic surgery is scaling to new specialties, and GI Genius AI colonoscopy is expanding globally. At 14.9x forward earnings with a 3.0% dividend yield and 47 consecutive years of dividend growth, valuation is undemanding relative to the accelerating growth profile, with $1.48B daily dollar volume providing maximum institutional liquidity [1].</w:t>
      </w:r>
    </w:p>
    <w:p>
      <w:pPr>
        <w:spacing w:after="120"/>
      </w:pPr>
      <w:r>
        <w:rPr>
          <w:rFonts w:ascii="Calibri" w:hAnsi="Calibri"/>
          <w:b w:val="0"/>
          <w:color w:val="3A4A28"/>
          <w:sz w:val="20"/>
        </w:rPr>
        <w:t>The bear case centers on durability of the growth acceleration and profitability constraints. ROE of 10.6% remains below the 15% target, weighed down by $38B+ in goodwill from the Covidien acquisition, and profit margin of 13.9% trails peers like Stryker and Boston Scientific who operate at 15-20%+ margins [1][4]. The 5-year revenue CAGR of just 3.9% reveals that the current acceleration follows years of low-single-digit organic growth, raising questions about whether PFA-driven momentum is sustainable as competitors launch rival ablation technologies. The planned MiniMed diabetes spinoff removes a segment with significant growth potential (continuous glucose monitoring market expanding 15%+ annually) from Medtronic's portfolio. Dividend growth has decelerated to ~3.8% annually, below inflation doubling rate, with a 70% payout ratio limiting reinvestment capacity. CEO Geoff Martha faces execution risk managing a complex $37.5B revenue base across four segments while simultaneously pursuing robotic surgery, AI integration, and portfolio restructuring [2][4][6].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PulseSelect PFA cardiac ablation driving transformative growth — Q4 FY2026 Cardiac Ablation Solutions revenue surged 78% YoY as the technology rapidly displaces thermal ablation, with global rollout still in early innings and the addressable market expanding as PFA enables treatment of more complex arrhythmias [1][2]</w:t>
      </w:r>
    </w:p>
    <w:p>
      <w:pPr>
        <w:spacing w:before="40" w:after="40"/>
        <w:ind w:left="283"/>
      </w:pPr>
      <w:r>
        <w:rPr>
          <w:rFonts w:ascii="Calibri" w:hAnsi="Calibri"/>
          <w:b/>
          <w:color w:val="4A6B25"/>
          <w:sz w:val="20"/>
        </w:rPr>
        <w:t xml:space="preserve">2. </w:t>
      </w:r>
      <w:r>
        <w:rPr>
          <w:rFonts w:ascii="Calibri" w:hAnsi="Calibri"/>
          <w:b w:val="0"/>
          <w:color w:val="3A4A28"/>
          <w:sz w:val="20"/>
        </w:rPr>
        <w:t>FY2027 guidance raise signals sustained momentum — management increased organic growth guidance to 7.25-7.75% and non-GAAP EPS to $5.94-$6.00, reflecting broad-based strength across Cardiovascular, Neuroscience, and Medical Surgical segments with PFA, Hugo robotics, and AI diagnostics as multi-year growth vectors [2]</w:t>
      </w:r>
    </w:p>
    <w:p>
      <w:pPr>
        <w:spacing w:before="40" w:after="40"/>
        <w:ind w:left="283"/>
      </w:pPr>
      <w:r>
        <w:rPr>
          <w:rFonts w:ascii="Calibri" w:hAnsi="Calibri"/>
          <w:b/>
          <w:color w:val="4A6B25"/>
          <w:sz w:val="20"/>
        </w:rPr>
        <w:t xml:space="preserve">3. </w:t>
      </w:r>
      <w:r>
        <w:rPr>
          <w:rFonts w:ascii="Calibri" w:hAnsi="Calibri"/>
          <w:b w:val="0"/>
          <w:color w:val="3A4A28"/>
          <w:sz w:val="20"/>
        </w:rPr>
        <w:t>Attractive valuation at 14.9x forward earnings with 3.0% dividend yield provides margin of safety — Medtronic trades at a meaningful discount to the S&amp;P 500 and med-tech peers while delivering accelerating top-line growth, with 47 consecutive years of dividend increases providing income stability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Competitive response in cardiac ablation — Boston Scientific, Abbott, and Johnson &amp; Johnson are developing rival PFA technologies that could erode Medtronic's first-mover advantage and compress the premium pricing that currently drives outsized ablation revenue growth [4]</w:t>
      </w:r>
    </w:p>
    <w:p>
      <w:pPr>
        <w:spacing w:before="40" w:after="40"/>
        <w:ind w:left="283"/>
      </w:pPr>
      <w:r>
        <w:rPr>
          <w:rFonts w:ascii="Calibri" w:hAnsi="Calibri"/>
          <w:b/>
          <w:color w:val="4A6B25"/>
          <w:sz w:val="20"/>
        </w:rPr>
        <w:t xml:space="preserve">2. </w:t>
      </w:r>
      <w:r>
        <w:rPr>
          <w:rFonts w:ascii="Calibri" w:hAnsi="Calibri"/>
          <w:b w:val="0"/>
          <w:color w:val="3A4A28"/>
          <w:sz w:val="20"/>
        </w:rPr>
        <w:t>Structural profitability constraints from $38B+ goodwill burden (Covidien acquisition) suppressing ROE to 10.6% and profit margin to 13.9%, limiting capital efficiency relative to less-acquisitive med-tech peers and constraining dividend growth capacity at a 70% payout ratio [1]</w:t>
      </w:r>
    </w:p>
    <w:p>
      <w:pPr>
        <w:spacing w:before="40" w:after="40"/>
        <w:ind w:left="283"/>
      </w:pPr>
      <w:r>
        <w:rPr>
          <w:rFonts w:ascii="Calibri" w:hAnsi="Calibri"/>
          <w:b/>
          <w:color w:val="4A6B25"/>
          <w:sz w:val="20"/>
        </w:rPr>
        <w:t xml:space="preserve">3. </w:t>
      </w:r>
      <w:r>
        <w:rPr>
          <w:rFonts w:ascii="Calibri" w:hAnsi="Calibri"/>
          <w:b w:val="0"/>
          <w:color w:val="3A4A28"/>
          <w:sz w:val="20"/>
        </w:rPr>
        <w:t>MiniMed diabetes spinoff removes a high-growth segment from the portfolio — the continuous glucose monitoring market is expanding 15%+ annually, and spinning off diabetes operations may sacrifice long-term revenue diversification for short-term portfolio simplification [4][6]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Medtronic's core business — manufacturing and selling physical medical devices including pacemakers, insulin pumps, spinal implants, and surgical instruments — is structurally immune to AI substitution [1][3]. Every product requires FDA regulatory approval, extensive clinical validation, physical manufacturing, and surgeon training relationships that AI cannot replicate or bypass. AI actually increases demand for Medtronic's products: AI-assisted surgical robotics, AI-powered diagnostic tools, and smart insulin delivery algorithms enhance the value proposition of hardware platforms. The deeply regulated healthcare environment (FDA 510(k), PMA pathways, EU MDR) creates years-long barriers to entry that no AI model can circumvent. Analysts see zero substitution risk to the core device business; the primary competitive threats remain other device manufacturers, not software companies [2][4]. AI Opportunity (1/1): Medtronic generates quantifiable AI-related revenue through GI Genius (the first FDA-cleared real-time AI colonoscopy tool) shipping to hospitals globally, and through AI-enabled adaptive insulin dosing algorithms in the MiniMed 780G platform that command premium pricing [3]. The company is investing in AI across manufacturing, supply chain, and clinical decision support, positioning AI as a revenue multiplier rather than a threat.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Medtronic FY2026 Full-Year and Q4 Earnings Release — $36.4B Revenue (+8.4% YoY), Non-GAAP EPS $5.53, Cardiac Ablation +78% — Medtronic Newsroom, SEC 8-K, May 2026</w:t>
      </w:r>
    </w:p>
    <w:p>
      <w:pPr>
        <w:spacing w:before="20" w:after="20"/>
        <w:ind w:left="170"/>
      </w:pPr>
      <w:r>
        <w:rPr>
          <w:rFonts w:ascii="Calibri" w:hAnsi="Calibri"/>
          <w:b/>
          <w:color w:val="4A6B25"/>
          <w:sz w:val="15"/>
        </w:rPr>
        <w:t xml:space="preserve">2. </w:t>
      </w:r>
      <w:r>
        <w:rPr>
          <w:rFonts w:ascii="Calibri" w:hAnsi="Calibri"/>
          <w:b w:val="0"/>
          <w:color w:val="3A4A28"/>
          <w:sz w:val="17"/>
        </w:rPr>
        <w:t>Medtronic Q1 FY2027 Earnings Release — $9.8B Revenue (+13.7% YoY), Non-GAAP EPS $1.45, FY27 Guidance Raised to $5.94-$6.00 — Medtronic Newsroom, SEC 8-K, September 2026</w:t>
      </w:r>
    </w:p>
    <w:p>
      <w:pPr>
        <w:spacing w:before="20" w:after="20"/>
        <w:ind w:left="170"/>
      </w:pPr>
      <w:r>
        <w:rPr>
          <w:rFonts w:ascii="Calibri" w:hAnsi="Calibri"/>
          <w:b/>
          <w:color w:val="4A6B25"/>
          <w:sz w:val="15"/>
        </w:rPr>
        <w:t xml:space="preserve">3. </w:t>
      </w:r>
      <w:r>
        <w:rPr>
          <w:rFonts w:ascii="Calibri" w:hAnsi="Calibri"/>
          <w:b w:val="0"/>
          <w:color w:val="3A4A28"/>
          <w:sz w:val="17"/>
        </w:rPr>
        <w:t>Medtronic AI Strategy and Innovation — Chief AI Officer, GI Genius AI Colonoscopy, MiniMed Adaptive Algorithms, Glassdoor Reviews — IMD, Metis Strategy, eGlobalis, 2025-2026</w:t>
      </w:r>
    </w:p>
    <w:p>
      <w:pPr>
        <w:spacing w:before="20" w:after="20"/>
        <w:ind w:left="170"/>
      </w:pPr>
      <w:r>
        <w:rPr>
          <w:rFonts w:ascii="Calibri" w:hAnsi="Calibri"/>
          <w:b/>
          <w:color w:val="4A6B25"/>
          <w:sz w:val="15"/>
        </w:rPr>
        <w:t xml:space="preserve">4. </w:t>
      </w:r>
      <w:r>
        <w:rPr>
          <w:rFonts w:ascii="Calibri" w:hAnsi="Calibri"/>
          <w:b w:val="0"/>
          <w:color w:val="3A4A28"/>
          <w:sz w:val="17"/>
        </w:rPr>
        <w:t>Medtronic Pipeline and Competitive Landscape — Hugo Robotic Surgery, PFA Competition, MiniMed Spinoff — MDDIonline, Investing.com, 2026</w:t>
      </w:r>
    </w:p>
    <w:p>
      <w:pPr>
        <w:spacing w:before="20" w:after="20"/>
        <w:ind w:left="170"/>
      </w:pPr>
      <w:r>
        <w:rPr>
          <w:rFonts w:ascii="Calibri" w:hAnsi="Calibri"/>
          <w:b/>
          <w:color w:val="4A6B25"/>
          <w:sz w:val="15"/>
        </w:rPr>
        <w:t xml:space="preserve">5. </w:t>
      </w:r>
      <w:r>
        <w:rPr>
          <w:rFonts w:ascii="Calibri" w:hAnsi="Calibri"/>
          <w:b w:val="0"/>
          <w:color w:val="3A4A28"/>
          <w:sz w:val="17"/>
        </w:rPr>
        <w:t>Medtronic Mission and Corporate History — Earl Bakken 1960 Mission Statement, 65+ Year Legacy, Medtronic Foundation — Medtronic.com, eGlobalis, 2026</w:t>
      </w:r>
    </w:p>
    <w:p>
      <w:pPr>
        <w:spacing w:before="20" w:after="20"/>
        <w:ind w:left="170"/>
      </w:pPr>
      <w:r>
        <w:rPr>
          <w:rFonts w:ascii="Calibri" w:hAnsi="Calibri"/>
          <w:b/>
          <w:color w:val="4A6B25"/>
          <w:sz w:val="15"/>
        </w:rPr>
        <w:t xml:space="preserve">6. </w:t>
      </w:r>
      <w:r>
        <w:rPr>
          <w:rFonts w:ascii="Calibri" w:hAnsi="Calibri"/>
          <w:b w:val="0"/>
          <w:color w:val="3A4A28"/>
          <w:sz w:val="17"/>
        </w:rPr>
        <w:t>Medtronic ESG and Governance — Sustainalytics ESG Risk Score 19, Carbon Neutrality Targets, MSCI Rating — Yahoo Finance, TechTarget,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