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MET</w:t>
      </w:r>
      <w:r>
        <w:rPr>
          <w:rFonts w:ascii="Calibri" w:hAnsi="Calibri"/>
          <w:b/>
          <w:color w:val="1A2010"/>
          <w:sz w:val="40"/>
        </w:rPr>
        <w:t xml:space="preserve">  MetLife, Inc.</w:t>
      </w:r>
    </w:p>
    <w:p>
      <w:pPr>
        <w:spacing w:after="120"/>
      </w:pPr>
      <w:r>
        <w:rPr>
          <w:rFonts w:ascii="Calibri" w:hAnsi="Calibri"/>
          <w:b/>
          <w:color w:val="6E8450"/>
          <w:sz w:val="18"/>
        </w:rPr>
        <w:t>DIVIDEND SLEEVE · 2026-09-01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Insurance - Life · NYSE · United States</w:t>
      </w:r>
    </w:p>
    <w:p>
      <w:pPr>
        <w:spacing w:after="80"/>
      </w:pPr>
      <w:r>
        <w:rPr>
          <w:rFonts w:ascii="Calibri" w:hAnsi="Calibri"/>
          <w:b w:val="0"/>
          <w:color w:val="3A4A28"/>
          <w:sz w:val="20"/>
        </w:rPr>
        <w:t>MetLife, Inc. is a global financial services company providing insurance, annuities, employee benefits, and asset management to individual and institutional customers. Operating across approximately 40 markets worldwide, MetLife is the largest life insurer in the U.S. by total assets and a leader in group employee benefits. The company serves approximately 100 million customers globally through four segments: U.S., Asia, Latin America, and EMEA.</w:t>
      </w:r>
    </w:p>
    <w:p>
      <w:r>
        <w:rPr>
          <w:rFonts w:ascii="Calibri" w:hAnsi="Calibri"/>
          <w:b/>
          <w:color w:val="6E8450"/>
          <w:sz w:val="18"/>
        </w:rPr>
        <w:t>45,000 Employees · https://www.metlife.com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MetLife's New Frontier strategy has driven incremental improvements across segments, including expansion of pension risk transfer (PRT) capabilities and digital customer engagement platforms, but no transformative product launch or business model reinvention in the last five years [1]. The 2017 separation of Brighthouse Financial was the last major structural pivot. AI Deployment (1/2): MetLife has deployed Microsoft Copilot across the organization and established AI upskilling programs under CTO Bill Pappas, with a Global Responsible AI Policy guiding implementation [2]. However, no specific AI-driven revenue gains or quantified cost savings have been publicly reported. Market Share (2/2): MetLife holds the #1 position in U.S. employee benefits with dominant group life, dental, and disability market share, and is a top-5 global insurer by assets under management [1]. PRT volumes are growing as corporate pension de-risking accelerates. Product Pipeline (1/2): New Frontier targets include high-single-digit adjusted EPS growth and 15-17% adjusted ROE, with specific growth initiatives in group benefits, Asia expansion, and investment management, though no breakthrough product categories are in development [1]. R&amp;D Intensity (1/1): Technology spending under Bill Pappas is at or above insurance industry averages, with significant investment in digital platforms, AI infrastructure, and data analytics capabilities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MetLife's purpose — 'Always with you, building a more confident future' — is clear and connects insurance to customer outcomes, but is not deeply distinctive from competitors like Prudential or Aflac. The purpose identifies what MetLife does and for whom but lacks the transformative quality of a true Just Cause. Community Impact (2/2): MetLife Foundation has invested over $900 million in community programs globally, with a focus on financial health, inclusion, and disaster relief, reaching millions of underserved individuals across 40+ markets — significant and distinctive community investment [3]. Employee Retention (1/2): Leadership stability is adequate — CEO Michel Khalaf has led since 2019 and CTO Bill Pappas has driven a culture of technology innovation. Glassdoor reviews are mixed, with some praising innovation culture while others cite 'poor management' and unclear company vision [2]. No specific tenure or turnover data is publicly reported. Insider Buying (0/2): No evidence of meaningful net insider buying by CEO Khalaf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Q2 2026 delivered adjusted earnings of $1.6B (up 15% YoY) and adjusted EPS of $2.43 (up 20% YoY), beating the $2.36 consensus, with adjusted ROE reaching 17% at the top of the 15-17% target range [1]. Group Benefits surged 25% YoY to $503M, and Asia sales rose 17% on a constant-currency basis [1]. Forward P/E of 8.77 is highly attractive and well below the 20 target, reflecting the market's persistent discount for insurers. D/E of 178% is elevated but structurally typical for life insurers. Net profit margin of 4.4% is below the 20% target but reflects the insurance business model. Full-year 2026 guidance of $9.75 adj EPS and $79.67B revenue, with 2027 targets of $10.31 EPS and $83.55B revenue [1]. Dividend profile is solid with 2.58% yield, ~44% payout ratio, 16+ consecutive years of payment, 13+ years of consecutive growth, and 4.5% 5yr CAGR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MetLife under CEO Michel Khalaf plays a moderately infinite game, maintaining a 158-year-old institution's purpose of protecting customers while executing the New Frontier growth strategy. The company has demonstrated meaningful existential flexibility through the Brighthouse Financial separation and strategic repositioning toward group benefits and international markets. However, competitive language often focuses on financial targets and market share rather than a transcendent Just Cause, and the organization's size creates typical large-enterprise cultural challenges.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MetLife's purpose of 'building a more confident future' connects its work to genuine human need — financial security and protection against life's uncertainties. The purpose has been refined under Khalaf but traces back to MetLife's 1868 founding as a mutual company serving working families. Strategic decisions like the Brighthouse separation and New Frontier investments can be traced to this purpose. However, the cause hasn't been tested through the kind of dramatic, costly pivot that earns a 3 — MetLife has evolved incrementally rather than sacrificing a profitable business in service of the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MetLife maintains adequate organizational trust with stable leadership — CEO Khalaf since 2019, CTO Pappas driving innovation culture, and generally consistent executive team [2]. Pappas has fostered a learning culture around AI where 'everyone learns at the same time,' showing respect for workforce adaptation. However, Glassdoor reviews reveal mixed employee sentiment, with some citing 'poor management' and lack of clear vision, suggesting trust varies significantly across the 45,000-person organization [2].</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MetLife's competitive language focuses on improving its own capabilities and serving customers better rather than 'beating' Prudential or AIG. Management commentary emphasizes executing the New Frontier strategy and reaching internal targets — 15-17% ROE, direct expense ratio below 12.1% — rather than competitor destruction [1]. The company studies competitors' digital capabilities and insurtech innovations to improve its own offerings.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MetLife demonstrated meaningful flexibility through the 2017 separation of Brighthouse Financial, effectively divesting its U.S. retail variable annuity business to sharpen focus on group benefits and international markets. The company also exited MetLife Auto &amp; Home to Farmers Insurance (2020). These moves sacrificed short-term revenue for long-term positioning but were incremental evolution rather than a transformative reinvention of the entire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Khalaf's decision to separate Brighthouse and focus on the New Frontier strategy required walking away from established retail revenue streams. MetLife maintained technology investment through market cycles and committed to AI adoption even when returns were uncertain [2]. However, the company's massive scale and diversified earnings provide a safety net — these 'bets' carry less relative risk when backed by $700B+ in total assets and $4.4B annual shareholder returns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MetLife delivered strong Q2 2026 results with adjusted EPS of $2.43 (up 20% YoY, beating the $2.36 consensus), adjusted earnings of $1.6B, and adjusted ROE of 17% at the top of its target range [1]. Group Benefits surged 25% YoY to $503M, while Asia sales rose 17% and Latin America 9% on a constant-currency basis, demonstrating broad-based momentum [1]. The forward P/E of 8.77 represents compelling value for a company executing at the top of its financial targets, with full-year 2026 guidance of $9.75 adj EPS and 2027 targets of $10.31. MetLife's dominant #1 position in U.S. group employee benefits, growing PRT franchise, and expanding international operations provide diversified growth engines, while the 2.58% dividend yield with 13 consecutive years of growth offers reliable income [4].</w:t>
      </w:r>
    </w:p>
    <w:p>
      <w:pPr>
        <w:spacing w:after="120"/>
      </w:pPr>
      <w:r>
        <w:rPr>
          <w:rFonts w:ascii="Calibri" w:hAnsi="Calibri"/>
          <w:b w:val="0"/>
          <w:color w:val="3A4A28"/>
          <w:sz w:val="20"/>
        </w:rPr>
        <w:t>The primary risk is the persistent valuation discount applied to life insurers, which may not narrow even with strong execution. Q2 revenue of $19.15B missed the $19.68B consensus, and net profit margin of 4.4% on $77.6B TTM revenue highlights the thin-margin nature of insurance, where variable investment income volatility can swing results dramatically [1]. D/E of 178% reflects structural leverage inherent to the insurance model but leaves MetLife vulnerable to credit deterioration or interest rate shocks in its $700B+ general account investment portfolio [4]. The company's AI deployment under CTO Bill Pappas remains early-stage with no quantified financial impact, and Glassdoor reviews suggest organizational culture challenges across the 45,000-person workforce that could limit talent retention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Q2 2026 beat-and-raise trajectory with adjusted EPS of $2.43 beating consensus, full-year guidance of $9.75, and 2027 targets of $10.31 EPS providing multi-year earnings visibility [1]</w:t>
      </w:r>
    </w:p>
    <w:p>
      <w:pPr>
        <w:spacing w:before="40" w:after="40"/>
        <w:ind w:left="283"/>
      </w:pPr>
      <w:r>
        <w:rPr>
          <w:rFonts w:ascii="Calibri" w:hAnsi="Calibri"/>
          <w:b/>
          <w:color w:val="4A6B25"/>
          <w:sz w:val="20"/>
        </w:rPr>
        <w:t xml:space="preserve">2. </w:t>
      </w:r>
      <w:r>
        <w:rPr>
          <w:rFonts w:ascii="Calibri" w:hAnsi="Calibri"/>
          <w:b w:val="0"/>
          <w:color w:val="3A4A28"/>
          <w:sz w:val="20"/>
        </w:rPr>
        <w:t>Pension risk transfer market accelerating as corporate sponsors de-risk defined benefit plans, positioning MetLife's PRT franchise for growing deal flow and fee income in a structural growth market</w:t>
      </w:r>
    </w:p>
    <w:p>
      <w:pPr>
        <w:spacing w:before="40" w:after="40"/>
        <w:ind w:left="283"/>
      </w:pPr>
      <w:r>
        <w:rPr>
          <w:rFonts w:ascii="Calibri" w:hAnsi="Calibri"/>
          <w:b/>
          <w:color w:val="4A6B25"/>
          <w:sz w:val="20"/>
        </w:rPr>
        <w:t xml:space="preserve">3. </w:t>
      </w:r>
      <w:r>
        <w:rPr>
          <w:rFonts w:ascii="Calibri" w:hAnsi="Calibri"/>
          <w:b w:val="0"/>
          <w:color w:val="3A4A28"/>
          <w:sz w:val="20"/>
        </w:rPr>
        <w:t>New Frontier strategy targeting 15-17% adjusted ROE with disciplined capital return through dividends and $4B+ annual share buybacks compressing share count and supporting EPS growth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Q2 revenue miss ($19.15B vs. $19.68B consensus) and 4.4% net profit margin highlight that variable investment income volatility can swing results, and top-line growth may underwhelm despite strong EPS execution [1]</w:t>
      </w:r>
    </w:p>
    <w:p>
      <w:pPr>
        <w:spacing w:before="40" w:after="40"/>
        <w:ind w:left="283"/>
      </w:pPr>
      <w:r>
        <w:rPr>
          <w:rFonts w:ascii="Calibri" w:hAnsi="Calibri"/>
          <w:b/>
          <w:color w:val="4A6B25"/>
          <w:sz w:val="20"/>
        </w:rPr>
        <w:t xml:space="preserve">2. </w:t>
      </w:r>
      <w:r>
        <w:rPr>
          <w:rFonts w:ascii="Calibri" w:hAnsi="Calibri"/>
          <w:b w:val="0"/>
          <w:color w:val="3A4A28"/>
          <w:sz w:val="20"/>
        </w:rPr>
        <w:t>D/E of 178% exposes MetLife to credit deterioration risk in its $700B+ general account investment portfolio — spread widening or rising defaults in a recession could impair both book value and earnings [4]</w:t>
      </w:r>
    </w:p>
    <w:p>
      <w:pPr>
        <w:spacing w:before="40" w:after="40"/>
        <w:ind w:left="283"/>
      </w:pPr>
      <w:r>
        <w:rPr>
          <w:rFonts w:ascii="Calibri" w:hAnsi="Calibri"/>
          <w:b/>
          <w:color w:val="4A6B25"/>
          <w:sz w:val="20"/>
        </w:rPr>
        <w:t xml:space="preserve">3. </w:t>
      </w:r>
      <w:r>
        <w:rPr>
          <w:rFonts w:ascii="Calibri" w:hAnsi="Calibri"/>
          <w:b w:val="0"/>
          <w:color w:val="3A4A28"/>
          <w:sz w:val="20"/>
        </w:rPr>
        <w:t>Insurtech disruption from AI-powered competitors automating underwriting, claims, and distribution in commoditized insurance lines could compress margins in MetLife's simpler product categories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Insurance is structurally protected from AI disruption by regulatory capital requirements, actuarial expertise, complex risk pooling, and the trust-based nature of life and benefits coverage [2]. MetLife's core competency — underwriting mortality, morbidity, and longevity risk across 100 million customers — requires decades of proprietary data, regulatory licenses across 40+ markets, and $700B+ in assets to back policy promises. AI cannot substitute for the capital base, regulatory moats, or distribution relationships that define the business. However, AI could compress margins in commoditized products like term life and auto-adjudication of claims, and insurtech competitors could leverage AI to cherry-pick profitable customer segments. AI Opportunity (0/1): MetLife has deployed Microsoft Copilot and AI tools internally for productivity and claims processing, but has not reported specific AI-driven revenue or quantified cost savings from AI deployment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MetLife Q2 2026 Earnings Release and 8-K Filing — SEC, July 2026; Investing.com Q2 2026 earnings call transcript and slides, August 2026</w:t>
      </w:r>
    </w:p>
    <w:p>
      <w:pPr>
        <w:spacing w:before="20" w:after="20"/>
        <w:ind w:left="170"/>
      </w:pPr>
      <w:r>
        <w:rPr>
          <w:rFonts w:ascii="Calibri" w:hAnsi="Calibri"/>
          <w:b/>
          <w:color w:val="4A6B25"/>
          <w:sz w:val="15"/>
        </w:rPr>
        <w:t xml:space="preserve">2. </w:t>
      </w:r>
      <w:r>
        <w:rPr>
          <w:rFonts w:ascii="Calibri" w:hAnsi="Calibri"/>
          <w:b w:val="0"/>
          <w:color w:val="3A4A28"/>
          <w:sz w:val="17"/>
        </w:rPr>
        <w:t>Inside MetLife's Innovation Journey with Bill Pappas — Forbes, February 2025; MetLife AI Upskilling — Great Place to Work, 2025; Korea Times interview with MetLife global HR chief on AI leadership, July 2026</w:t>
      </w:r>
    </w:p>
    <w:p>
      <w:pPr>
        <w:spacing w:before="20" w:after="20"/>
        <w:ind w:left="170"/>
      </w:pPr>
      <w:r>
        <w:rPr>
          <w:rFonts w:ascii="Calibri" w:hAnsi="Calibri"/>
          <w:b/>
          <w:color w:val="4A6B25"/>
          <w:sz w:val="15"/>
        </w:rPr>
        <w:t xml:space="preserve">3. </w:t>
      </w:r>
      <w:r>
        <w:rPr>
          <w:rFonts w:ascii="Calibri" w:hAnsi="Calibri"/>
          <w:b w:val="0"/>
          <w:color w:val="3A4A28"/>
          <w:sz w:val="17"/>
        </w:rPr>
        <w:t>MetLife Sustainability Report and ESG Integration Policy — metlife.com and MetLife Investment Management,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MetLife Key Statistics — StockAnalysis.com, GuruFocus, and Yahoo Finance,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