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MFA</w:t>
      </w:r>
      <w:r>
        <w:rPr>
          <w:rFonts w:ascii="Calibri" w:hAnsi="Calibri"/>
          <w:b/>
          <w:color w:val="1A2010"/>
          <w:sz w:val="40"/>
        </w:rPr>
        <w:t xml:space="preserve">  MFA Financial, Inc.</w:t>
      </w:r>
    </w:p>
    <w:p>
      <w:pPr>
        <w:spacing w:after="120"/>
      </w:pPr>
      <w:r>
        <w:rPr>
          <w:rFonts w:ascii="Calibri" w:hAnsi="Calibri"/>
          <w:b/>
          <w:color w:val="6E8450"/>
          <w:sz w:val="18"/>
        </w:rPr>
        <w:t>DIVIDEND SLEEVE · 2026-09-20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MFA Financial, Inc. is a self-advised real estate investment trust (REIT) primarily engaged in investing, on a leveraged basis, in residential mortgage assets including non-QM loans, business purpose loans, and agency mortgage-backed securities. Through its subsidiary Lima One Capital, MFA originates business purpose loans for residential real estate investors. Q2 2026 GAAP net income was $36.2M ($0.35/share), beating estimates, with the residential investment portfolio growing to $13.0B. Founded in 1998, headquartered in New York City.</w:t>
      </w:r>
    </w:p>
    <w:p>
      <w:r>
        <w:rPr>
          <w:rFonts w:ascii="Calibri" w:hAnsi="Calibri"/>
          <w:b/>
          <w:color w:val="6E8450"/>
          <w:sz w:val="18"/>
        </w:rPr>
        <w:t>350 Employees · https://www.mfafinancial.com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MFA's 2021 acquisition of Lima One Capital for approximately $470M was a significant strategic pivot, transforming the company from a passive MBS portfolio manager into a vertically integrated originator of business purpose loans [1]. Q2 2026 validated this strategy with Lima One originations growing 44% to $316M, the highest since the acquisition, and the residential investment portfolio expanding to $13.0B from $12.5B sequentially [1]. AI Deployment (0/2): No evidence of AI-powered products or quantified AI-driven cost savings in origination or portfolio management. Market Share (1/2): MFA maintains a meaningful presence in the non-QM and business purpose loan segments through Lima One, with $5.7B in non-QM loans and $4.1B in Agency MBS, though it remains a mid-size mortgage REIT and is not a category leader [1]. Product Pipeline (1/2): Lima One origination pipeline at highest levels since 2024, with the wholesale channel relaunch expected to drive further volume growth in H2 2026 [1]. R&amp;D Intensity (0/1): Not applicable for a mortgage REIT; no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MFA's stated purpose is generic financial services language focused on generating attractive risk-adjusted returns for shareholders through residential mortgage investments — interchangeable with any mortgage REIT peer [3]. No distinctive vision beyond profit maximization. Community Impact (0/2): No evidence of significant charitable foundations or community investment programs. MFA has been included in the Bloomberg Gender-Equality Index for four consecutive years, reflecting corporate diversity practices, but this reflects internal governance rather than community impact [3]. Employee Retention (1/2): MFA Financial has been certified as a Great Place to Work, and Glassdoor-equivalent ratings show culture and values at 4.2/5 and career opportunities at 4.1/5, indicating above-average employee satisfaction for a small financial firm of ~350 employees [2]. Insider Buying (0/2): No evidence of meaningful net insider buying by CEO Craig Knutson or other executives. Recent leadership reorganization (Bryan Wulfsohn appointed President, taking over from Knutson while he remains CEO) does not include disclosed insider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Dividend stock. Q2 2026 showed meaningful improvement: GAAP net income of $36.2M ($0.35/share) versus $22.6M ($0.22/share) a year earlier, with revenue growing 20.2% YoY (score 1.0) [1][4]. Forward P/E of 5.98 is deeply attractive at well below the 20x target (score 1.0), and profit margin of 48.95% scores at ceiling, reflecting the spread-based earnings model [4]. However, D/E of 657% far exceeds the 300% floor (score 0.0) — structural for a leveraged mortgage REIT but punished mechanically. ROE of 8.24% remains below the 15% target (score 0.55) [4]. Dividend metrics are mixed: 27 consecutive years paid scores at ceiling with 2× weight, but the 5yr dividend growth CAGR of approximately -1.7% scores 0.0 with 2× weight (reflecting the 2023 cut from $0.44 to $0.35), and the ~100% payout ratio is at the scoring floor. Calculation: D/E 0×1 + ROE 0.55×1 + RevYoY 1.0×1 + FwdPE 1.0×1 + ProfMgn 1.0×1 + Payout 0×1 + YrsPaid 1.0×2 + YrsGrowth 0.2×1 + DivCAGR 0×2 = 5.75/11 → 5. Liquidity: 1.58M avg vol × $8.36 = $13.2M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MFA Financial operates with a finite mindset focused on generating quarterly distributable earnings to cover its dividend. The company lacks a Just Cause beyond profit maximization, and strategic decisions — including the Lima One acquisition — appear driven by yield optimization rather than a vision of a better future. The leadership reorganization (Wulfsohn as President, Knutson remaining CEO) is an operational adjustment, not a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MFA exists to generate returns for shareholders through leveraged residential mortgage investments. There is no articulated vision of a future state that extends beyond profit — the company's purpose is interchangeable with any mortgage REIT [3]. CEO Craig Knutson's Q2 2026 commentary focused on portfolio growth to $13.0B, Lima One origination volumes, and credit resolution — entirely finite metrics about this quarter's performance [1]. Sinek would classify MFA as a company playing to win this quarter, not to keep playing.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MFA Financial has been certified as a Great Place to Work, with employee ratings showing culture and values at 4.2/5, indicating positive sentiment for a small financial firm of ~350 employees [2]. The small team size and specialized mortgage expertise likely create closer working relationships than larger institutions. The leadership reorganization (Wulfsohn promoted to President from within) suggests internal development. However, no specific evidence of exceptional trust or empowerment beyond the certification.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MFA's competitive language focuses on portfolio returns, yield targets, and Lima One origination volumes relative to peer mortgage REITs — standard finite competitive framing [1]. No management commentary referencing learning from competitors or using rivals' strengths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Lima One acquisition in 2021 demonstrated meaningful strategic flexibility, moving MFA from a passive MBS portfolio manager to an integrated originator-investor model [1]. Q2 2026 validates this pivot with Lima One originations growing 44% to $316M. However, the transformation remains incremental rather than fundamental — MFA still operates as a leveraged mortgage REIT — and net interest spread compression (1.56% vs 1.98% a year ago) shows the core model remains rate-dependent.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acquire Lima One for ~$470M during COVID-era market disruption represented a significant bet on vertical integration when many mortgage REITs were de-risking [1]. Management maintained the dividend through Q1 2026's loss, signaling confidence in the Q2 earnings recovery that materialized with $0.35/share EPS. However, the 2023 dividend cut from $0.44 to $0.35 showed eventual capitulation, and maintaining a 100% payout ratio leaves zero cushion for future setbacks.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MFA Financial trades at a deeply discounted 5.98x forward earnings with a 16.7% dividend yield, offering significant income optionality if earnings trajectory holds [1][4]. Q2 2026 marked a clear inflection: GAAP net income of $36.2M ($0.35/share) beat estimates by 25.9%, revenue grew 20.2% YoY, and Lima One originations surged 44% to $316M, driving the residential investment portfolio to $13.0B [1]. The earnings recovery from Q1's loss to Q2's dividend coverage provides evidence that the Lima One vertical integration thesis is working. Profit margin of 48.95% demonstrates the spread-based model generates strong returns when credit conditions are favorable, and 27 years of dividend payments through multiple cycles show institutional commitment to income generation. The Inspire Impact Score of 39 (ALIGNED) enables faith-based allocation.</w:t>
      </w:r>
    </w:p>
    <w:p>
      <w:pPr>
        <w:spacing w:after="120"/>
      </w:pPr>
      <w:r>
        <w:rPr>
          <w:rFonts w:ascii="Calibri" w:hAnsi="Calibri"/>
          <w:b w:val="0"/>
          <w:color w:val="3A4A28"/>
          <w:sz w:val="20"/>
        </w:rPr>
        <w:t>The bear case centers on structural leverage and spread vulnerability. D/E of 657% is mechanical for a mortgage REIT but leaves zero margin for error if credit conditions deteriorate [4]. Net interest spread narrowed to 1.56% in Q2 2026 from 1.98% a year earlier, meaning MFA must grow the portfolio significantly just to maintain earnings [1]. The ~100% payout ratio means every dollar of earnings goes to dividends with no retained earnings buffer — any credit event forces either a dividend cut or equity raise. The 5yr dividend CAGR of -1.7% (reflecting the 2023 cut from $0.44 to $0.35) demonstrates income fragility that the 16.7% yield cannot disguise. ROE of 8.24% is well below the cost of equity for a leveraged REIT, meaning the company is destroying value on a levered basis. If interest rates spike or non-QM credit deteriorates, the stock's 12% decline from $9.50 to $8.36 could accelerate significantly given the leverage amplification.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Lima One origination ramp — Q2 2026 originations of $316M (+44%) at highest pipeline levels since 2024, with wholesale channel relaunch expected to drive further volume growth in H2 2026 [1]</w:t>
      </w:r>
    </w:p>
    <w:p>
      <w:pPr>
        <w:spacing w:before="40" w:after="40"/>
        <w:ind w:left="283"/>
      </w:pPr>
      <w:r>
        <w:rPr>
          <w:rFonts w:ascii="Calibri" w:hAnsi="Calibri"/>
          <w:b/>
          <w:color w:val="4A6B25"/>
          <w:sz w:val="20"/>
        </w:rPr>
        <w:t xml:space="preserve">2. </w:t>
      </w:r>
      <w:r>
        <w:rPr>
          <w:rFonts w:ascii="Calibri" w:hAnsi="Calibri"/>
          <w:b w:val="0"/>
          <w:color w:val="3A4A28"/>
          <w:sz w:val="20"/>
        </w:rPr>
        <w:t>Earnings convergence with dividend — Q2 2026 EPS of $0.35 covered the quarterly dividend for the first time in several quarters, and sustained coverage would reduce the most significant bear case risk [1]</w:t>
      </w:r>
    </w:p>
    <w:p>
      <w:pPr>
        <w:spacing w:before="40" w:after="40"/>
        <w:ind w:left="283"/>
      </w:pPr>
      <w:r>
        <w:rPr>
          <w:rFonts w:ascii="Calibri" w:hAnsi="Calibri"/>
          <w:b/>
          <w:color w:val="4A6B25"/>
          <w:sz w:val="20"/>
        </w:rPr>
        <w:t xml:space="preserve">3. </w:t>
      </w:r>
      <w:r>
        <w:rPr>
          <w:rFonts w:ascii="Calibri" w:hAnsi="Calibri"/>
          <w:b w:val="0"/>
          <w:color w:val="3A4A28"/>
          <w:sz w:val="20"/>
        </w:rPr>
        <w:t>Portfolio growth to $13.0B with diversification across non-QM ($5.7B), business purpose loans, and Agency MBS ($4.1B) reduces concentration risk and improves net interest income potential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spread compression — spread narrowed to 1.56% in Q2 2026 from 1.98% a year earlier, requiring portfolio growth to offset margin pressure; a further rate-driven squeeze would threaten dividend coverage [1]</w:t>
      </w:r>
    </w:p>
    <w:p>
      <w:pPr>
        <w:spacing w:before="40" w:after="40"/>
        <w:ind w:left="283"/>
      </w:pPr>
      <w:r>
        <w:rPr>
          <w:rFonts w:ascii="Calibri" w:hAnsi="Calibri"/>
          <w:b/>
          <w:color w:val="4A6B25"/>
          <w:sz w:val="20"/>
        </w:rPr>
        <w:t xml:space="preserve">2. </w:t>
      </w:r>
      <w:r>
        <w:rPr>
          <w:rFonts w:ascii="Calibri" w:hAnsi="Calibri"/>
          <w:b w:val="0"/>
          <w:color w:val="3A4A28"/>
          <w:sz w:val="20"/>
        </w:rPr>
        <w:t>D/E of 657% amplifies sensitivity to credit deterioration — rising delinquencies in non-QM or business purpose loans could rapidly erode book value and trigger margin calls, as occurred in March 2020 [4]</w:t>
      </w:r>
    </w:p>
    <w:p>
      <w:pPr>
        <w:spacing w:before="40" w:after="40"/>
        <w:ind w:left="283"/>
      </w:pPr>
      <w:r>
        <w:rPr>
          <w:rFonts w:ascii="Calibri" w:hAnsi="Calibri"/>
          <w:b/>
          <w:color w:val="4A6B25"/>
          <w:sz w:val="20"/>
        </w:rPr>
        <w:t xml:space="preserve">3. </w:t>
      </w:r>
      <w:r>
        <w:rPr>
          <w:rFonts w:ascii="Calibri" w:hAnsi="Calibri"/>
          <w:b w:val="0"/>
          <w:color w:val="3A4A28"/>
          <w:sz w:val="20"/>
        </w:rPr>
        <w:t>Dividend sustainability — ~100% payout ratio and 5yr dividend CAGR of -1.7% leave no retained earnings buffer; the 2023 cut from $0.44 to $0.35 demonstrates vulnerability, and a second cut would likely trigger a 20-30% stock price decline given yield-dependent investor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MFA's core business — deploying financial capital into residential mortgage assets and managing leveraged portfolios — requires actual capital, regulatory compliance (REIT structure, SEC reporting), and human judgment on credit risk that AI cannot substitute [1]. The Lima One origination platform involves physical property evaluation, borrower relationship management, and complex underwriting for non-QM and business purpose loans that remain structurally protected from AI displacement. No analyst reports flag AI as a substitution risk for mortgage REITs. However, AI-enhanced fintech competitors could improve origination efficiency and compress margins in business purpose lending over time. AI Opportunity (0/1): No evidence of AI-generated revenue or AI-powered products. MFA has not disclosed AI tools for underwriting automation or portfolio optimization in public filings or earnings calls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MFA Financial Q2 2026 Earnings Release — GAAP Net Income $36.2M ($0.35/share, beat estimates by 25.9%), Revenue $58.6M (+20.2% YoY), Portfolio $13.0B, Lima One Originations $316M (+44%), NIS 1.56%,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MFA Financial Leadership and Culture — CEO Craig Knutson, President Bryan Wulfsohn, Great Place to Work Certified, Culture/Values 4.2/5, Bloomberg Gender-Equality Index,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MFA Financial Inc. Corporate Website — Mission, Strategy, Bloomberg Gender-Equality Index, mfafinancial.com,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MFA Key Statistics: Stock Price $8.36, P/E 8.28, Forward P/E 5.98, D/E 656.96%, ROE 8.24%, Profit Margin 48.95%, Avg Volume 1.58M,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