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MFG</w:t>
      </w:r>
      <w:r>
        <w:rPr>
          <w:rFonts w:ascii="Calibri" w:hAnsi="Calibri"/>
          <w:b/>
          <w:color w:val="1A2010"/>
          <w:sz w:val="40"/>
        </w:rPr>
        <w:t xml:space="preserve">  Mizuho Financial Group, Inc.</w:t>
      </w:r>
    </w:p>
    <w:p>
      <w:pPr>
        <w:spacing w:after="120"/>
      </w:pPr>
      <w:r>
        <w:rPr>
          <w:rFonts w:ascii="Calibri" w:hAnsi="Calibri"/>
          <w:b/>
          <w:color w:val="6E8450"/>
          <w:sz w:val="18"/>
        </w:rPr>
        <w:t>GROWTH SLEEVE · 2026-08-28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Diversified Banks · NYSE · Japan</w:t>
      </w:r>
    </w:p>
    <w:p>
      <w:pPr>
        <w:spacing w:after="80"/>
      </w:pPr>
      <w:r>
        <w:rPr>
          <w:rFonts w:ascii="Calibri" w:hAnsi="Calibri"/>
          <w:b w:val="0"/>
          <w:color w:val="3A4A28"/>
          <w:sz w:val="20"/>
        </w:rPr>
        <w:t>Mizuho Financial Group, Inc. is one of Japan's three megabank holding companies, operating Mizuho Bank, Mizuho Trust &amp; Banking, and Mizuho Securities. The group provides commercial banking, trust banking, securities, asset management, and research services globally. Q1 FY2026 (ending June 2026) delivered profit attributable to owners of ¥422.9B (+45.5% YoY) and raised full-year FY2026 profit forecast to ¥1,400B (+12.1%). CEO Masahiro Kihara is executing a cultural transformation and ¥100B AI investment program. Stock price $10.63. Market cap approximately $124B. Trades on NYSE as an ADR.</w:t>
      </w:r>
    </w:p>
    <w:p>
      <w:r>
        <w:rPr>
          <w:rFonts w:ascii="Calibri" w:hAnsi="Calibri"/>
          <w:b/>
          <w:color w:val="6E8450"/>
          <w:sz w:val="18"/>
        </w:rPr>
        <w:t>52,000 Employees · https://www.mizuhogroup.com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Under CEO Masahiro Kihara (appointed February 2022), Mizuho has executed a significant cultural and operational transformation following the 2021 IT system failures that drew regulatory reprimand [1]. The transformation includes cultural reset, digital shift, and global expansion in wealth management and corporate/investment banking. However, this represents recovery and modernization rather than product innovation or business model transformation. AI Deployment (2/2): Mizuho is investing ¥100B ($640M) over three years (through FY2028) to develop and implement AI systems, with plans to replace work equivalent to 5,000 administrative roles through AI [2]. The 'Administrative Group' was renamed 'Process Design Group' in April 2026 to reflect the AI-led operational reform. The bank deploys AI to process massive datasets in real-time for risk assessments and tailored financial products. These represent concrete, quantified deployment with measurable efficiency targets. Market Share (1/2): Mizuho is roughly tied with Sumitomo Mitsui Financial Group as Japan's second-largest bank after Mitsubishi UFJ Financial, with a meaningful but not dominant global position [1]. The group has not gained notable market share versus peers. Product Pipeline (1/2): AI integration plans, digital banking initiatives, and the ¥100B technology investment program provide a clear modernization pipeline [2]. However, specific next-generation products with named launch dates and revenue visibility have not been announced. R&amp;D Intensity (1/1): The ¥100B ($640M) AI technology investment over three years is substantial for a financial institution and represents top-quartile commitment to digital transformation among global banks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Kihara redefined Mizuho's corporate purpose as 'Proactively innovate together with our clients for a prosperous and sustainable future' — a specific and thoughtful statement reflecting genuine intentionality following the 2021 IT crisis [1]. Kihara diagnosed a cultural problem (not just a technical one) and launched open dialogue initiatives across the organization, demonstrating that the purpose is shaping behavior. He was awarded Best Bank CEO in Japan by TAB Global for this transformation [2]. Community Impact (1/2): As a Japanese megabank, Mizuho maintains extensive sustainability and corporate responsibility programs globally, including sustainable finance initiatives [1]. However, specific charitable programs with dollar amounts were not identified. Employee Retention (1/2): Kihara launched innovation workshops and cultural transformation programs that earned TAB Global recognition for reshaping corporate culture [2]. The 52,000-employee organization shows stability. However, the ¥100B AI program replacing 5,000 administrative roles could negatively impact morale, and no specific retention data is available. Insider Buying (0/2): No evidence of insider buying. The February 2026 Mizuho Securities insider trading probe — involving investment banking staff — represents a significant governance failure that directly contradicts the cultural transformation narrative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1.40% &lt; 2% threshold, not in portfolios.json). D/E of 617% scores 0.0 — structurally normal for banks where deposits are balance sheet liabilities, but mechanically penalized under the scoring framework [4]. ROE of 12.49% scores 0.833 (improved from 9.68% in FY2024 toward the 15% target) [2x weight]. Revenue growth YoY of 18.3% scores 1.0 (Q1 FY2026 consolidated ordinary income growth) [1]. Revenue growth 5yr CAGR of approximately 11% scores 1.0 (driven by fee business expansion and BOJ rate normalization) [2x weight]. Forward P/E of 13.32 scores 1.0 (attractive valuation well below 20 target) [4]. Profit margin of 29.14% scores 1.0 (strong for a megabank). Forward PEG of 1.53 scores 0.735 [2x weight]. Weighted sum 8.14 out of 10.0 weight units = 8.14, rounded to 8. Liquidity passes: ~5M daily volume x $10.63 = $53M.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Mizuho under Kihara represents a genuine attempt to transform from a crisis-prone Japanese megabank into a purpose-driven institution. Kihara's response to the 2021 IT failures — diagnosing the deeper cultural problem rather than just fixing the technical issues — is the kind of infinite thinking Sinek would admire. However, the February 2026 insider trading probe at Mizuho Securities directly undercuts the cultural transformation narrative and reveals that organizational change has not permeated the entire group. The 2026 AGM shareholder rejection of an independent director over climate risk accountability adds governance pressure.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Kihara's redefined purpose — 'Proactively innovate together with our clients for a prosperous and sustainable future' — represents genuine organizational intentionality following the 2021 crisis [1][2]. However, Mizuho's 26-year history (formed from three merged banks in 2000) includes multiple scandals, IT system failures, and regulatory reprimands. The purpose has not been tested through multiple leadership transitions or decades of consistent execution, and the insider trading probe suggests the transformation remains incomplete.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While Kihara's cultural reset explicitly targeted the lack of openness in Mizuho's culture and earned external recognition [2], the February 2026 insider trading probe at Mizuho Securities — involving investment banking staff who traded on confidential client information — directly contradicts the trusting teams thesis [3]. This governance failure, combined with shareholder rejection of a director at the June 2026 AGM, demonstrates that cultural transformation has not reached critical parts of the organization. The planned replacement of 5,000 roles with AI could further undermine employee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Mizuho operates in Japan's three-megabank system alongside MUFG and SMFG, and Kihara's leadership approach focuses on making Mizuho better rather than defeating competitors. The emphasis on cultural transformation, digital innovation, and sustainable finance reflects a self-improvement orientation [1][2]. Management commentary focuses on Mizuho's own transformation journey rather than competitive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Under Kihara, Mizuho has begun a shift from traditional Japanese megabank to a digitally enabled institution. The ¥100B AI investment, renaming of the Administrative Group to 'Process Design Group,' and digital certification programs represent genuine organizational evolution [2]. However, these changes are incremental modernization — the core business model of commercial banking, securities, and trust services remains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Kihara took the helm after Mizuho's most embarrassing crisis — the 2021 IT failures and regulatory reprimand — and rather than making cosmetic fixes, publicly diagnosed a deeper cultural deficiency and launched organization-wide transformation [1][2]. The ¥100B AI investment is a bold commitment for a conservative Japanese institution. However, the insider trading probe undermines this narrative, and it remains unclear whether Kihara has made truly costly bets that sacrifice near-term earnings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Mizuho delivered a strong Q1 FY2026 with profit attributable to owners of ¥422.9B (+45.5% YoY) and raised its full-year FY2026 profit forecast to ¥1,400B (+12.1%), extending the earnings acceleration under CEO Kihara's transformation [1]. At 13.32x forward earnings, the ADR offers exposure to Japan's banking sector revival driven by Bank of Japan interest rate normalization, yen dynamics, and fee business expansion. ROE improved to 12.49% from 9.68% in FY2024, narrowing the gap with global banking peers. The ¥100B AI investment and 5,000-role automation program position Mizuho at the forefront of banking productivity transformation [2]. The 5-year dividend growth rate of 17.3% provides attractive income growth alongside capital appreciation potential.</w:t>
      </w:r>
    </w:p>
    <w:p>
      <w:pPr>
        <w:spacing w:after="120"/>
      </w:pPr>
      <w:r>
        <w:rPr>
          <w:rFonts w:ascii="Calibri" w:hAnsi="Calibri"/>
          <w:b w:val="0"/>
          <w:color w:val="3A4A28"/>
          <w:sz w:val="20"/>
        </w:rPr>
        <w:t>The bear case is dominated by governance risk: the February 2026 insider trading investigation at Mizuho Securities by Japan's SESC threatens to undo years of cultural rehabilitation and could result in regulatory penalties, reputational damage, and leadership changes [3]. Shares fell 5.3% on the news. The June 2026 AGM saw shareholders reject the re-election of an independent director over climate risk accountability, adding governance pressure. The D/E ratio of 617% is structurally normal for banks but represents genuine leverage risk in an economic downturn. ROE of 12.49% remains below global peers (JPMorgan 15%+, Goldman Sachs 12%+), and heavy exposure to the Japanese economy — facing demographic decline — poses long-term structural headwinds. Currency risk for USD-based investors is significant given yen volatility. The ¥100B AI program replacing 5,000 roles could create workforce disruption that undermines the cultural transformation.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Bank of Japan interest rate normalization continuing to expand net interest margins, with Q1 FY2026 ordinary profits up 62.5% YoY to ¥599B — further rate increases could drive additional profit growth [1]</w:t>
      </w:r>
    </w:p>
    <w:p>
      <w:pPr>
        <w:spacing w:before="40" w:after="40"/>
        <w:ind w:left="283"/>
      </w:pPr>
      <w:r>
        <w:rPr>
          <w:rFonts w:ascii="Calibri" w:hAnsi="Calibri"/>
          <w:b/>
          <w:color w:val="4A6B25"/>
          <w:sz w:val="20"/>
        </w:rPr>
        <w:t xml:space="preserve">2. </w:t>
      </w:r>
      <w:r>
        <w:rPr>
          <w:rFonts w:ascii="Calibri" w:hAnsi="Calibri"/>
          <w:b w:val="0"/>
          <w:color w:val="3A4A28"/>
          <w:sz w:val="20"/>
        </w:rPr>
        <w:t>ROE improvement trajectory from 9.68% to 12.49% approaching the 15% global standard could unlock re-rating if sustained through FY2027, narrowing the valuation gap with Western banking peers [1]</w:t>
      </w:r>
    </w:p>
    <w:p>
      <w:pPr>
        <w:spacing w:before="40" w:after="40"/>
        <w:ind w:left="283"/>
      </w:pPr>
      <w:r>
        <w:rPr>
          <w:rFonts w:ascii="Calibri" w:hAnsi="Calibri"/>
          <w:b/>
          <w:color w:val="4A6B25"/>
          <w:sz w:val="20"/>
        </w:rPr>
        <w:t xml:space="preserve">3. </w:t>
      </w:r>
      <w:r>
        <w:rPr>
          <w:rFonts w:ascii="Calibri" w:hAnsi="Calibri"/>
          <w:b w:val="0"/>
          <w:color w:val="3A4A28"/>
          <w:sz w:val="20"/>
        </w:rPr>
        <w:t>Successful resolution of the Mizuho Securities insider trading probe without major penalties would remove the governance overhang and validate Kihara's cultural transformation thesis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The February 2026 insider trading investigation at Mizuho Securities threatens the credibility of Kihara's cultural transformation and could result in regulatory penalties, management changes, or client defections [3]</w:t>
      </w:r>
    </w:p>
    <w:p>
      <w:pPr>
        <w:spacing w:before="40" w:after="40"/>
        <w:ind w:left="283"/>
      </w:pPr>
      <w:r>
        <w:rPr>
          <w:rFonts w:ascii="Calibri" w:hAnsi="Calibri"/>
          <w:b/>
          <w:color w:val="4A6B25"/>
          <w:sz w:val="20"/>
        </w:rPr>
        <w:t xml:space="preserve">2. </w:t>
      </w:r>
      <w:r>
        <w:rPr>
          <w:rFonts w:ascii="Calibri" w:hAnsi="Calibri"/>
          <w:b w:val="0"/>
          <w:color w:val="3A4A28"/>
          <w:sz w:val="20"/>
        </w:rPr>
        <w:t>Bank of Japan policy reversal or Japanese economic downturn would compress net interest margins and increase credit losses, reversing the current earnings momentum driven by rate normalization [1]</w:t>
      </w:r>
    </w:p>
    <w:p>
      <w:pPr>
        <w:spacing w:before="40" w:after="40"/>
        <w:ind w:left="283"/>
      </w:pPr>
      <w:r>
        <w:rPr>
          <w:rFonts w:ascii="Calibri" w:hAnsi="Calibri"/>
          <w:b/>
          <w:color w:val="4A6B25"/>
          <w:sz w:val="20"/>
        </w:rPr>
        <w:t xml:space="preserve">3. </w:t>
      </w:r>
      <w:r>
        <w:rPr>
          <w:rFonts w:ascii="Calibri" w:hAnsi="Calibri"/>
          <w:b w:val="0"/>
          <w:color w:val="3A4A28"/>
          <w:sz w:val="20"/>
        </w:rPr>
        <w:t>Structural efficiency gap persists — ROE of 12.49% remains below global banking peers, and the ¥100B AI program replacing 5,000 roles signals that Mizuho acknowledges significant excess cost that automation must address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Banking is heavily regulated globally, with complex licensing requirements, Basel III/IV capital adequacy rules, and institutional client relationship structures that create meaningful barriers to AI disruption [1]. Core functions — lending, deposit-taking, foreign exchange, and trade finance — require regulatory compliance and deep client relationships that AI cannot replicate. However, significant portions of Mizuho's business face genuine AI exposure: securities trading is increasingly algorithmic, retail banking faces competition from digital-native neobanks, and advisory services could be partially automated by AI research tools. Mizuho itself is replacing 5,000 roles with AI, demonstrating the technology's disruptive potential within its own operations [2]. AI Opportunity (1/1): Mizuho's ¥100B AI investment and 5,000-role automation represent meaningful deployment for operational efficiency across 52,000 employees [2]. While not generating external AI revenue, these tools improve banking operations, risk assessment, and client service at institutional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Mizuho Financial Group Q1 FY2026 Consolidated Financial Statements — Profit ¥422.9B (+45.5% YoY), Ordinary Income ¥2,520.9B (+18.3%), Full-Year Forecast ¥1,400B, EPS ¥173.53 — Mizuho Group Library, SEC 6-K, July 2026</w:t>
      </w:r>
    </w:p>
    <w:p>
      <w:pPr>
        <w:spacing w:before="20" w:after="20"/>
        <w:ind w:left="170"/>
      </w:pPr>
      <w:r>
        <w:rPr>
          <w:rFonts w:ascii="Calibri" w:hAnsi="Calibri"/>
          <w:b/>
          <w:color w:val="4A6B25"/>
          <w:sz w:val="15"/>
        </w:rPr>
        <w:t xml:space="preserve">2. </w:t>
      </w:r>
      <w:r>
        <w:rPr>
          <w:rFonts w:ascii="Calibri" w:hAnsi="Calibri"/>
          <w:b w:val="0"/>
          <w:color w:val="3A4A28"/>
          <w:sz w:val="17"/>
        </w:rPr>
        <w:t>Mizuho CEO Masahiro Kihara Leadership and AI Strategy — Best Bank CEO in Japan (TAB Global), ¥100B AI Investment, 5,000 Role Automation, Process Design Group — Asian Banker, Klover.ai, FStech, 2024-2026</w:t>
      </w:r>
    </w:p>
    <w:p>
      <w:pPr>
        <w:spacing w:before="20" w:after="20"/>
        <w:ind w:left="170"/>
      </w:pPr>
      <w:r>
        <w:rPr>
          <w:rFonts w:ascii="Calibri" w:hAnsi="Calibri"/>
          <w:b/>
          <w:color w:val="4A6B25"/>
          <w:sz w:val="15"/>
        </w:rPr>
        <w:t xml:space="preserve">3. </w:t>
      </w:r>
      <w:r>
        <w:rPr>
          <w:rFonts w:ascii="Calibri" w:hAnsi="Calibri"/>
          <w:b w:val="0"/>
          <w:color w:val="3A4A28"/>
          <w:sz w:val="17"/>
        </w:rPr>
        <w:t>Mizuho Governance Issues — Securities Insider Trading Probe (Japan Times, February 2026), 2026 AGM Director Rejection (BankTrack, June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MacroTrends — MFG Key Statistics: Forward P/E 13.32x, ROE 12.49%, Profit Margin 29.14%, Stock Price $10.63,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