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MFIC</w:t>
      </w:r>
      <w:r>
        <w:rPr>
          <w:rFonts w:ascii="Calibri" w:hAnsi="Calibri"/>
          <w:b/>
          <w:color w:val="1A2010"/>
          <w:sz w:val="40"/>
        </w:rPr>
        <w:t xml:space="preserve">  MidCap Financial Investment Corporation</w:t>
      </w:r>
    </w:p>
    <w:p>
      <w:pPr>
        <w:spacing w:after="120"/>
      </w:pPr>
      <w:r>
        <w:rPr>
          <w:rFonts w:ascii="Calibri" w:hAnsi="Calibri"/>
          <w:b/>
          <w:color w:val="6E8450"/>
          <w:sz w:val="18"/>
        </w:rPr>
        <w:t>DIVIDEND SLEEVE · 2026-10-02 · Inspire: 0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EBEE" w:val="clear"/>
          </w:tcPr>
          <w:p>
            <w:pPr>
              <w:spacing w:before="40" w:after="40"/>
              <w:jc w:val="center"/>
            </w:pPr>
            <w:r>
              <w:rPr>
                <w:rFonts w:ascii="Calibri" w:hAnsi="Calibri"/>
                <w:b/>
                <w:color w:val="DC2626"/>
                <w:sz w:val="20"/>
              </w:rPr>
              <w:t>SELL</w:t>
            </w:r>
          </w:p>
        </w:tc>
      </w:tr>
    </w:tbl>
    <w:p>
      <w:pPr>
        <w:spacing w:before="120" w:after="200"/>
      </w:pPr>
      <w:r>
        <w:rPr>
          <w:rFonts w:ascii="Calibri" w:hAnsi="Calibri"/>
          <w:b/>
          <w:color w:val="1A2010"/>
          <w:sz w:val="80"/>
        </w:rPr>
        <w:t>28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NMS · United States</w:t>
      </w:r>
    </w:p>
    <w:p>
      <w:pPr>
        <w:spacing w:after="80"/>
      </w:pPr>
      <w:r>
        <w:rPr>
          <w:rFonts w:ascii="Calibri" w:hAnsi="Calibri"/>
          <w:b w:val="0"/>
          <w:color w:val="3A4A28"/>
          <w:sz w:val="20"/>
        </w:rPr>
        <w:t>MidCap Financial Investment Corporation is an externally managed, publicly traded Business Development Company (BDC) focused on providing senior secured first lien loans to U.S. middle market companies. Externally managed by Apollo Investment Management, an affiliate of Apollo Global Management. Formed through the 2024 merger of Apollo Investment Corp, Apollo Senior Floating Rate Fund, and MidCap Financial Investment Corp. Q2 2026 net investment income was $0.40/share but GAAP net loss of $(0.21)/share due to $50.3M portfolio markdowns. NAV of $13.37 versus stock price of $8.74 (35% discount). Headquartered in New York, New York.</w:t>
      </w:r>
    </w:p>
    <w:p>
      <w:r>
        <w:rPr>
          <w:rFonts w:ascii="Calibri" w:hAnsi="Calibri"/>
          <w:b/>
          <w:color w:val="6E8450"/>
          <w:sz w:val="18"/>
        </w:rPr>
        <w:t>https://www.midcapfinancialic.com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The 2024 triple merger combining Apollo Investment Corp, Apollo Senior Floating Rate Fund, and MidCap Financial created a larger, more diversified BDC platform with improved cost efficiency and deal sourcing through the MidCap Financial partnership — meaningful corporate restructuring, though financial consolidation rather than product innovation [1][2]. AI Deployment (0/2): MFIC describes investing 'with an AI first and risk aware mindset,' underwriting each investment for AI-driven upside and displacement risk, but this is investment analysis methodology, not an AI product generating revenue or measurable cost savings [2]. Market Share (0/2): MFIC is a mid-tier BDC with a shrinking portfolio, dwarfed by peers like Ares Capital ($28B+) and Blue Owl Capital ($20B+). The portfolio is actively contracting with negative net investment activity [1]. Product Pipeline (0/2): No new products, strategies, or investment verticals announced. Portfolio shrinking and company announced $100M buyback as a defensive measure [1]. R&amp;D Intensity (0/1): Not applicable to a BDC; externally managed with no internal R&amp;D function.</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(1/4): MFIC's stated purpose is providing senior debt solutions to middle market companies — a functional description of what the company does, interchangeable with every other BDC. No articulated mission, vision, or values beyond financial intermediation [2]. Community Impact (0/2): No evidence of charitable programs, foundation, or community investment. BDCs are financial vehicles, not organizations with social missions. Employee Retention (0/2): MFIC is externally managed by Apollo Investment Management — there are no traditional employees, no internal culture to evaluate, and no retention data. Executive Chairman Howard Widra announced retirement effective December 2026 [2]. Insider Buying (0/2): No evidence of meaningful personal insider purchases. The $100M share buyback program represents corporate action through Apollo's management, not personal executive conviction [1].</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Dividend stock. MFIC's financial profile has deteriorated significantly — Q2 2026 delivered NII of $0.40/share but GAAP net loss of $(0.21)/share as $(50.3M) in portfolio losses overwhelmed investment income [1]. NAV declined from $14.66 (September 2025) to $13.37 (June 2026), an 8.8% erosion. ROE of -2.39% and profit margin of -9.85% reflect unrealized credit losses (score 0.0 on both). D/E of 158% scores 0.62, typical for BDC leverage. Forward P/E of 7.01 is attractive (score 1.0) but reflects market skepticism about earnings sustainability. The dividend was cut 18% from $0.38 to $0.31/quarter in Q1 2026, zeroing out consecutive years of dividend growth and producing a negative 5-year dividend growth CAGR (score 0.0 on both, 3x combined weight). The 20+ year consecutive payment history through predecessor entities provides some offset (score 1.0, 2x weight). Revenue declined 16% YoY. Daily dollar volume of $4.8M provides adequate liquidity above the $1M floor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1</w:t>
      </w:r>
      <w:r>
        <w:rPr>
          <w:rFonts w:ascii="Calibri" w:hAnsi="Calibri"/>
          <w:b w:val="0"/>
          <w:color w:val="9DAF88"/>
          <w:sz w:val="18"/>
        </w:rPr>
        <w:t xml:space="preserve"> /10</w:t>
      </w:r>
    </w:p>
    <w:p>
      <w:pPr>
        <w:spacing w:after="120"/>
      </w:pPr>
      <w:r>
        <w:rPr>
          <w:rFonts w:ascii="Calibri" w:hAnsi="Calibri"/>
          <w:b w:val="0"/>
          <w:color w:val="3A4A28"/>
          <w:sz w:val="18"/>
        </w:rPr>
        <w:t>MFIC is a textbook finite game player. As an externally managed BDC, it exists purely to generate financial returns for shareholders and management fees for Apollo. There is no Just Cause, no internal culture (external management), and no vision beyond quarterly NII coverage and dividend payments. Strategic decisions are driven entirely by financial optimization — the triple merger was a consolidation play, the share buyback targets NAV accretion, and the dividend cut was a mechanical response to credit losses. Nothing about MFIC's structure or strategy suggests it is built to endure beyond its financial utility.</w:t>
      </w:r>
    </w:p>
    <w:p>
      <w:pPr>
        <w:spacing w:before="200" w:after="40"/>
      </w:pPr>
      <w:r>
        <w:rPr>
          <w:rFonts w:ascii="Calibri" w:hAnsi="Calibri"/>
          <w:b/>
          <w:color w:val="1A2010"/>
          <w:sz w:val="22"/>
        </w:rPr>
        <w:t>Just Cause</w:t>
      </w:r>
    </w:p>
    <w:p>
      <w:pPr>
        <w:spacing w:before="0" w:after="40"/>
      </w:pPr>
      <w:r>
        <w:rPr>
          <w:rFonts w:ascii="Calibri" w:hAnsi="Calibri"/>
          <w:b/>
          <w:color w:val="DC2626"/>
          <w:sz w:val="28"/>
        </w:rPr>
        <w:t>1</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
            <w:shd w:fill="DC2626" w:val="clear"/>
          </w:tcPr>
          <w:p>
            <w:pPr>
              <w:spacing w:before="0" w:after="0"/>
            </w:pPr>
            <w:r>
              <w:rPr>
                <w:rFonts w:ascii="Calibri" w:hAnsi="Calibri"/>
                <w:b w:val="0"/>
                <w:color w:val="1A2010"/>
                <w:sz w:val="4"/>
              </w:rPr>
            </w:r>
          </w:p>
        </w:tc>
        <w:tc>
          <w:tcPr>
            <w:tcW w:type="dxa" w:w="496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(0/3): MFIC has no articulated Just Cause. The company exists to deploy Apollo's capital into middle market loans and generate returns. There is no vision of a better future, no stated purpose beyond financial intermediation, and no evidence that any stakeholder views MFIC as serving a cause larger than profit [1][2]. Management commentary focuses exclusively on NII coverage, NAV preservation, and capital allocation optimization.</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MFIC is externally managed by Apollo Investment Management with no traditional employees. The 'team' is Apollo's investment professionals who manage multiple vehicles simultaneously. The Executive Chairman (Widra) is retiring effective December 2026, and CEO transitions have been planned Apollo personnel changes, not expressions of organizational trust or culture [2]. There is no internal culture, no employee empowerment model, and no organizational identity independent of the Apollo platform.</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an infinite competitive mindset. MFIC competes in the BDC space primarily through cost structure (Apollo affiliation providing fee efficiency) and deal sourcing (MidCap Financial partnership), not through learning from competitors like Ares Capital, Blue Owl, or Golub Capital. Competitive positioning is transactional and fee-focused.</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2024 triple merger — combining three separate Apollo-managed vehicles into a single larger BDC — was a meaningful structural transformation that improved scale, diversification, and cost efficiency [2]. The pivot from standalone Apollo Investment Corp to the MidCap Financial partnership model changed the deal sourcing and underwriting approach. However, the core business model (borrow money, lend to middle market companies, collect spread) has not changed. The merger was driven by financial engineering rationale, not a deeper strategic purpose.</w:t>
      </w:r>
    </w:p>
    <w:p>
      <w:pPr>
        <w:spacing w:before="200" w:after="40"/>
      </w:pPr>
      <w:r>
        <w:rPr>
          <w:rFonts w:ascii="Calibri" w:hAnsi="Calibri"/>
          <w:b/>
          <w:color w:val="1A2010"/>
          <w:sz w:val="22"/>
        </w:rPr>
        <w:t>Courage To Lead</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(0/2): No evidence of courageous leadership. The 18% dividend cut from $0.38 to $0.31 was a defensive response to NAV erosion and credit losses, not a proactive investment in long-term capability [1]. The $100M share buyback below NAV is financially rational but standard BDC capital allocation. The board's explicit warning that 'no assurances' exist for maintaining the current dividend reflects risk management, not strategic courage. Portfolio contraction (negative net investment activity) is prudent but defensive.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MFIC at $8.74 offers a 14.2% dividend yield backed by Q2 2026 NII of $0.40/share, providing 129% coverage of the $0.31 quarterly distribution, with the 94% first lien secured portfolio composition limiting downside in severe credit scenarios [1]. The stock trades at a 35% discount to NAV ($8.74 vs $13.37 book value), and the $100M share buyback program at these levels is materially NAV-accretive. Forward P/E of 7.01 implies the market is pricing in continued deterioration that may prove excessive if credit losses stabilize. Apollo's $785B AUM platform provides institutional-quality deal sourcing and workout expertise for distressed positions [2].</w:t>
      </w:r>
    </w:p>
    <w:p>
      <w:pPr>
        <w:spacing w:after="120"/>
      </w:pPr>
      <w:r>
        <w:rPr>
          <w:rFonts w:ascii="Calibri" w:hAnsi="Calibri"/>
          <w:b w:val="0"/>
          <w:color w:val="3A4A28"/>
          <w:sz w:val="20"/>
        </w:rPr>
        <w:t>The bear case is severe and immediate. NAV has declined 8.8% in three quarters (from $14.66 to $13.37), the dividend was cut 18% from $0.38 to $0.31, and the board explicitly warned 'no assurances' exist for maintaining even the reduced dividend [1]. Q2 2026 produced a GAAP net loss of $(0.21)/share as $(50.3M) in portfolio losses — concentrated in software credits — overwhelmed investment income. Revenue collapsed 91% YoY to just $13.4M trailing twelve months, and the portfolio is actively contracting. The 35% discount to NAV signals the market expects further NAV erosion — if credit losses continue at the Q2 pace, NAV could decline below $12 within two quarters. External management by Apollo creates structural misalignment — Apollo earns fees on assets regardless of shareholder returns, and Executive Chairman Widra's announced retirement effective December 2026 adds leadership uncertainty. The negative 5-year dividend growth CAGR of -7% reflects a deteriorating income trajectory, not a stable yield vehicle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Stabilization of NAV decline if credit losses moderate in H2 2026, with 94% first lien secured portfolio providing structural recovery potential as stressed borrowers restructure or are replaced [1]</w:t>
      </w:r>
    </w:p>
    <w:p>
      <w:pPr>
        <w:spacing w:before="40" w:after="40"/>
        <w:ind w:left="283"/>
      </w:pPr>
      <w:r>
        <w:rPr>
          <w:rFonts w:ascii="Calibri" w:hAnsi="Calibri"/>
          <w:b/>
          <w:color w:val="4A6B25"/>
          <w:sz w:val="20"/>
        </w:rPr>
        <w:t xml:space="preserve">2. </w:t>
      </w:r>
      <w:r>
        <w:rPr>
          <w:rFonts w:ascii="Calibri" w:hAnsi="Calibri"/>
          <w:b w:val="0"/>
          <w:color w:val="3A4A28"/>
          <w:sz w:val="20"/>
        </w:rPr>
        <w:t>Share buyback program generating NAV accretion — repurchases at the current 35% discount to NAV are materially accretive to remaining shareholders and signal management confidence in asset values [1]</w:t>
      </w:r>
    </w:p>
    <w:p>
      <w:pPr>
        <w:spacing w:before="40" w:after="40"/>
        <w:ind w:left="283"/>
      </w:pPr>
      <w:r>
        <w:rPr>
          <w:rFonts w:ascii="Calibri" w:hAnsi="Calibri"/>
          <w:b/>
          <w:color w:val="4A6B25"/>
          <w:sz w:val="20"/>
        </w:rPr>
        <w:t xml:space="preserve">3. </w:t>
      </w:r>
      <w:r>
        <w:rPr>
          <w:rFonts w:ascii="Calibri" w:hAnsi="Calibri"/>
          <w:b w:val="0"/>
          <w:color w:val="3A4A28"/>
          <w:sz w:val="20"/>
        </w:rPr>
        <w:t>Potential dividend increase if NII remains at $0.38-$0.40/share level while the $0.31 distribution builds supplemental income reserves, rebuilding investor confidence in the income stream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Continued NAV erosion from further credit losses — the 8.8% decline over three quarters could accelerate if macroeconomic conditions deteriorate, with the board providing 'no assurances' of maintaining even the $0.31 quarterly distribution [1]</w:t>
      </w:r>
    </w:p>
    <w:p>
      <w:pPr>
        <w:spacing w:before="40" w:after="40"/>
        <w:ind w:left="283"/>
      </w:pPr>
      <w:r>
        <w:rPr>
          <w:rFonts w:ascii="Calibri" w:hAnsi="Calibri"/>
          <w:b/>
          <w:color w:val="4A6B25"/>
          <w:sz w:val="20"/>
        </w:rPr>
        <w:t xml:space="preserve">2. </w:t>
      </w:r>
      <w:r>
        <w:rPr>
          <w:rFonts w:ascii="Calibri" w:hAnsi="Calibri"/>
          <w:b w:val="0"/>
          <w:color w:val="3A4A28"/>
          <w:sz w:val="20"/>
        </w:rPr>
        <w:t>External management structure misaligns incentives — Apollo earns management fees on gross assets regardless of shareholder returns, and Executive Chairman Widra's December 2026 retirement adds leadership uncertainty during a period of portfolio stress [2]</w:t>
      </w:r>
    </w:p>
    <w:p>
      <w:pPr>
        <w:spacing w:before="40" w:after="40"/>
        <w:ind w:left="283"/>
      </w:pPr>
      <w:r>
        <w:rPr>
          <w:rFonts w:ascii="Calibri" w:hAnsi="Calibri"/>
          <w:b/>
          <w:color w:val="4A6B25"/>
          <w:sz w:val="20"/>
        </w:rPr>
        <w:t xml:space="preserve">3. </w:t>
      </w:r>
      <w:r>
        <w:rPr>
          <w:rFonts w:ascii="Calibri" w:hAnsi="Calibri"/>
          <w:b w:val="0"/>
          <w:color w:val="3A4A28"/>
          <w:sz w:val="20"/>
        </w:rPr>
        <w:t>Software portfolio exposure (11.4% at fair value) faces ongoing AI disruption risk — recent credit losses were concentrated in software credits, validating the concern that AI is reshaping competitive dynamics for MFIC's borrowers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MFIC's core business — originating and managing senior secured loans to private middle market companies — relies on relationship-intensive deal sourcing, complex underwriting of private companies with limited publicly available data, and workout expertise during credit stress that requires human judgment and negotiation [1][2]. These activities have significant human components that AI cannot fully replicate near-term. The Apollo platform provides institutional-scale data advantages. However, AI-enhanced fintech lenders could compete for middle market deals using superior data analysis and faster credit decisions. Additionally, MFIC's portfolio companies face their own AI disruption risks — the company acknowledged software exposure (11.4% of portfolio) requires underwriting for 'AI-driven displacement risk,' and recent credit losses in software holdings validate this concern [2]. AI Opportunity (0/1): No revenue from AI products or services. MFIC is a financial intermediary that may benefit from AI-enhanced credit tools developed by Apollo, but generates no AI-related revenue itself.</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MidCap Financial Investment Q2 2026 Earnings — NII $0.40/Share, GAAP Net Loss $(0.21)/Share, NAV $13.37, Portfolio Losses $(50.3M), Dividend Cut to $0.31, $100M Buyback Announced, SEC 8-K Filing, August 2026</w:t>
      </w:r>
    </w:p>
    <w:p>
      <w:pPr>
        <w:spacing w:before="20" w:after="20"/>
        <w:ind w:left="170"/>
      </w:pPr>
      <w:r>
        <w:rPr>
          <w:rFonts w:ascii="Calibri" w:hAnsi="Calibri"/>
          <w:b/>
          <w:color w:val="4A6B25"/>
          <w:sz w:val="15"/>
        </w:rPr>
        <w:t xml:space="preserve">2. </w:t>
      </w:r>
      <w:r>
        <w:rPr>
          <w:rFonts w:ascii="Calibri" w:hAnsi="Calibri"/>
          <w:b w:val="0"/>
          <w:color w:val="3A4A28"/>
          <w:sz w:val="17"/>
        </w:rPr>
        <w:t>MidCap Financial Investment Corporate Profile and AI Strategy — Apollo Management, CEO Tanner Powell, Executive Chairman Widra Retirement, AI-First Underwriting Approach, Software 11.4% Portfolio Exposure, midcapfinancialic.com and SEC Filings, 2025-2026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