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MGNX</w:t>
      </w:r>
      <w:r>
        <w:rPr>
          <w:rFonts w:ascii="Calibri" w:hAnsi="Calibri"/>
          <w:b/>
          <w:color w:val="1A2010"/>
          <w:sz w:val="40"/>
        </w:rPr>
        <w:t xml:space="preserve">  MacroGenics, Inc.</w:t>
      </w:r>
    </w:p>
    <w:p>
      <w:pPr>
        <w:spacing w:after="120"/>
      </w:pPr>
      <w:r>
        <w:rPr>
          <w:rFonts w:ascii="Calibri" w:hAnsi="Calibri"/>
          <w:b/>
          <w:color w:val="6E8450"/>
          <w:sz w:val="18"/>
        </w:rPr>
        <w:t>GROWTH SLEEVE · 2026-09-29 · Inspire: 23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MacroGenics is a clinical-stage biopharmaceutical company that discovers, develops, manufactures, and commercializes antibody-based therapeutics for cancer treatment. The company's pipeline includes lorigerlimab (bispecific PD-1/CTLA-4), MGC026 (B7-H3 ADC), MGC028 (ADAM9 ADC), and MGC030 (preclinical ADC), with collaborations with Gilead, Incyte, and Sanofi.</w:t>
      </w:r>
    </w:p>
    <w:p>
      <w:r>
        <w:rPr>
          <w:rFonts w:ascii="Calibri" w:hAnsi="Calibri"/>
          <w:b/>
          <w:color w:val="6E8450"/>
          <w:sz w:val="18"/>
        </w:rPr>
        <w:t>293 Employees · https://www.macrogenics.com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MacroGenics executed a genuine business transformation in 2026 — divesting its GMP drug-substance manufacturing operations to Bora Pharmaceuticals for $122.5M and monetizing ZYNYZ royalties for up to $80M, extending cash runway to 2028 and reshaping the company into a pure R&amp;D-focused biotech [1]. The May 2026 LINNET data cut showed encouraging early efficacy for lorigerlimab in clear cell gynecologic cancer (4 of 16 evaluable patients with objective responses, including one unconfirmed complete response), though no product has reached commercialization [1]. AI Deployment (0/2): No evidence of AI-powered drug discovery tools or AI-driven efficiency gains; the company relies on its proprietary DART and antibody engineering platforms without disclosed AI integration [2]. Market Share (1/2): MacroGenics is a meaningful player in the ADC/bispecific space with three clinical-stage ADC candidates (MGC026, MGC028, MGC030) and proprietary linker-payload technology, but does not lead the category against larger competitors like Daiichi Sankyo and AbbVie [1]. Pipeline (2/2): Specific next-gen data readouts are scheduled — MGC026 initial data mid-2026, MGC028 data H2 2026, MGC030 IND filing Q3 2026, and two additional product candidates from proprietary TCE/ADC platforms targeted for nomination by end of 2026 [1]. R&amp;D Intensity (1/1): R&amp;D spending remains substantial relative to revenue for this clinical-stage biotech, consistent with industry norms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MacroGenics' stated purpose centers on developing differentiated antibody-based therapeutics to improve cancer patient outcomes — clear and relevant but not distinctive among oncology-focused biotechs [3]. Community Impact (1/2): The company contributes to the broader cancer research ecosystem through academic collaborations and partnerships with global pharma companies (Gilead, Incyte, Sanofi), though no specific charitable programs or foundation activities are publicly documented [1]. Employee Retention (0/2): Glassdoor rating of 3.4/5 across 67 reviews with mixed feedback — some praise the culture and people, while others cite micromanagement and burnout from upper management, suggesting average-to-below-average retention [2]. Insider Buying (1/2): CEO Eric Risser (in the role since August 2025, previously COO since 2022, credited with generating over $1.6B in non-dilutive capital since inception) has now executed the Bora manufacturing sale and ZYNYZ royalty monetization, but no meaningful net open-market insider buying data was identified at current depressed prices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weighting; improved from prior screen following Q2 2026 Sanofi milestone and Bora divestiture benefits. D/E improved to 81.9% (score 0.95) as the Bora sale reduced liabilities [1]. ROE of -225.8% and forward P/E of -2.8x remain deeply negative, scoring 0.0 — the company remains structurally unprofitable as a clinical-stage biotech despite posting a profitable Q2 2026 ($19.5M net income) driven by a one-time $24.5M Sanofi regulatory milestone for TZIELD U.S. approval [1][5]. TTM profit margin of -8.3% still breaches the zero floor (score 0.0) but has narrowed materially from -21.4% at the prior screen. TTM revenue growth surged to 378% (score 1.0) reflecting milestone and royalty income, though this is non-recurring [5]. Forward P/E, 5yr revenue CAGR, and PEG remain not meaningful for this pre-commercial biotech and were excluded. Weighted result: 1.95/5.0 weighted units ≈ 4/10. Cash runway extended to 2028 via $122.5M Bora sale and up to $80M ZYNYZ royalty monetization is a material credit not captured by mechanical metrics [1]. Liquidity floor passed: 648K avg vol × $4.06 ≈ $2.6M daily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MacroGenics has demonstrated persistence through a 25-year history of antibody platform development, and CEO Eric Risser (in the role since August 2025) has since executed a genuine business-model reshaping — divesting manufacturing and monetizing royalties to extend runway to 2028 while continuing to fund four clinical programs. The collaboration-dependent revenue model and clinical-stage cash burn still create finite-game pressure to deliver near-term pipeline milestones.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MacroGenics was founded in 2000 with a genuine scientific cause — developing next-generation antibody-based cancer therapeutics using proprietary DART and ADC platforms [3]. The cause is specific to oncology and has driven 25 years of consistent platform development, and the May 2026 LINNET data (objective responses including one unconfirmed complete response) offers early validation, but the cause has not yet been proven by a commercial product. Just Cause: 1 point.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Mixed signals — Glassdoor reviews (3.4/5) show some employees value the culture and collaborative environment, but others cite micromanagement and burnout driven by upper management [2]. The 2025 CEO transition to Risser and the 2026 divestiture of the manufacturing unit (moving ~140 employees to Bora) create organizational change, though Risser's internal promotion from COO provided continuity. Trusting Teams: 1 point.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MacroGenics operates in a competitive ADC landscape against Daiichi Sankyo (Enhertu), AbbVie, and Pfizer/Seagen, but there is no public evidence of management framing these as worthy rivals whose strengths drive MacroGenics' improvement [1]. The competitive language is typical biotech — focused on differentiated targets and novel payloads rather than learning from rivals. Worthy Rivals: 0 points.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MacroGenics executed a genuine reinvention in 2026 — selling its GMP drug-substance manufacturing operations to Bora Pharmaceuticals for $122.5M and monetizing ZYNYZ royalties for up to $80M, transforming from a partly vertically-integrated manufacturer into a pure R&amp;D-focused biotech and extending cash runway to 2028 [1]. This followed the earlier evolution from its original DART bispecific focus into a three-candidate ADC pipeline (MGC026, MGC028, MGC030). Existential Flexibility: 2 points.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CEO Eric Risser has made multiple consequential capital-allocation bets in 2026: divesting the manufacturing business, monetizing future royalties, and continuing to fund four clinical programs (MGC026, MGC028, MGC030, lorigerlimab) simultaneously despite a depressed ~$255M market cap [1][2]. This is a pattern of costly, long-term-oriented decisions rather than a single bet. Courage to Lead: 2 points.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MacroGenics trades at a ~$259M market cap following a transformative 2026 — divesting manufacturing to Bora ($122.5M), monetizing ZYNYZ royalties (up to $80M), and collecting a $24.5M Sanofi milestone for TZIELD U.S. approval in Q2 2026, which drove Q2 revenue to $32.8M and net income to $19.5M (vs. a $36.3M loss in Q2 2025) [1][5]. H1 2026 revenue of $39.5M (vs. $13.9M in H1 2025) and TTM revenue of $154M reflect milestone-driven income rather than recurring commercial revenue, but the cash runway now extends to 2028 without new equity dilution. The May 2026 LINNET data (4/16 objective responses in clear cell gynecologic cancer) and upcoming ADC pipeline readouts (MGC026, MGC028, MGC030) provide multiple binary catalysts [1].</w:t>
      </w:r>
    </w:p>
    <w:p>
      <w:pPr>
        <w:spacing w:after="120"/>
      </w:pPr>
      <w:r>
        <w:rPr>
          <w:rFonts w:ascii="Calibri" w:hAnsi="Calibri"/>
          <w:b w:val="0"/>
          <w:color w:val="3A4A28"/>
          <w:sz w:val="20"/>
        </w:rPr>
        <w:t>The bear case remains substantial: MacroGenics has been public since 2013 without a sustainable commercial product, and TTM profit margin is still negative at -8.3% with ROE of -225.8% as accumulated losses erode equity [5][6]. The Q2 2026 profitability was entirely milestone-driven and non-recurring — strip out the $24.5M Sanofi payment and the quarter would show a continued operating loss. The Bora/ZYNYZ deals buy time (runway to 2028) rather than resolve whether any pipeline asset reaches commercial approval. The ADC competitive landscape remains intense with programs from Daiichi Sankyo, AbbVie, and Pfizer/Seagen, and negative Phase 1 data on MGC026 or MGC028 in H2 2026 could trigger renewed dilution risk. At $4.06/share, the stock prices in minimal pipeline value — a potential opportunity if data reads positively, but a value trap if clinical results disappoint.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MGC026 (B7-H3 ADC) initial Phase 1 data expected mid-2026, targeting a validated oncology antigen with a novel TOP1i linker-payload [1]</w:t>
      </w:r>
    </w:p>
    <w:p>
      <w:pPr>
        <w:spacing w:before="40" w:after="40"/>
        <w:ind w:left="283"/>
      </w:pPr>
      <w:r>
        <w:rPr>
          <w:rFonts w:ascii="Calibri" w:hAnsi="Calibri"/>
          <w:b/>
          <w:color w:val="4A6B25"/>
          <w:sz w:val="20"/>
        </w:rPr>
        <w:t xml:space="preserve">2. </w:t>
      </w:r>
      <w:r>
        <w:rPr>
          <w:rFonts w:ascii="Calibri" w:hAnsi="Calibri"/>
          <w:b w:val="0"/>
          <w:color w:val="3A4A28"/>
          <w:sz w:val="20"/>
        </w:rPr>
        <w:t>Lorigerlimab LINNET expansion cohort (20 additional CCGC patients at a lower 3 mg/kg dose) reading out following the encouraging May 2026 data cut (25% ORR, one unconfirmed CR) [1]</w:t>
      </w:r>
    </w:p>
    <w:p>
      <w:pPr>
        <w:spacing w:before="40" w:after="40"/>
        <w:ind w:left="283"/>
      </w:pPr>
      <w:r>
        <w:rPr>
          <w:rFonts w:ascii="Calibri" w:hAnsi="Calibri"/>
          <w:b/>
          <w:color w:val="4A6B25"/>
          <w:sz w:val="20"/>
        </w:rPr>
        <w:t xml:space="preserve">3. </w:t>
      </w:r>
      <w:r>
        <w:rPr>
          <w:rFonts w:ascii="Calibri" w:hAnsi="Calibri"/>
          <w:b w:val="0"/>
          <w:color w:val="3A4A28"/>
          <w:sz w:val="20"/>
        </w:rPr>
        <w:t>MGC030 IND submission planned Q3 2026 plus nomination of two additional product candidates from proprietary TCE/ADC platforms by year-end 2026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Negative Phase 1 data for MGC026 or MGC028 would undermine the ADC platform thesis and could trigger renewed equity dilution despite the extended cash runway [1]</w:t>
      </w:r>
    </w:p>
    <w:p>
      <w:pPr>
        <w:spacing w:before="40" w:after="40"/>
        <w:ind w:left="283"/>
      </w:pPr>
      <w:r>
        <w:rPr>
          <w:rFonts w:ascii="Calibri" w:hAnsi="Calibri"/>
          <w:b/>
          <w:color w:val="4A6B25"/>
          <w:sz w:val="20"/>
        </w:rPr>
        <w:t xml:space="preserve">2. </w:t>
      </w:r>
      <w:r>
        <w:rPr>
          <w:rFonts w:ascii="Calibri" w:hAnsi="Calibri"/>
          <w:b w:val="0"/>
          <w:color w:val="3A4A28"/>
          <w:sz w:val="20"/>
        </w:rPr>
        <w:t>The company remains structurally unprofitable (TTM profit margin -21.38%, ROE -87.47%) and dependent on lumpy collaboration/milestone revenue [3][4]</w:t>
      </w:r>
    </w:p>
    <w:p>
      <w:pPr>
        <w:spacing w:before="40" w:after="40"/>
        <w:ind w:left="283"/>
      </w:pPr>
      <w:r>
        <w:rPr>
          <w:rFonts w:ascii="Calibri" w:hAnsi="Calibri"/>
          <w:b/>
          <w:color w:val="4A6B25"/>
          <w:sz w:val="20"/>
        </w:rPr>
        <w:t xml:space="preserve">3. </w:t>
      </w:r>
      <w:r>
        <w:rPr>
          <w:rFonts w:ascii="Calibri" w:hAnsi="Calibri"/>
          <w:b w:val="0"/>
          <w:color w:val="3A4A28"/>
          <w:sz w:val="20"/>
        </w:rPr>
        <w:t>The lorigerlimab CCGC signal is based on a small, uncontrolled cohort (16 evaluable patients) and the dose is being lowered for the expansion cohort, meaning efficacy is not yet confirmed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MacroGenics' core business — wet-lab antibody engineering, clinical trials, and biologic manufacturing — involves physical-world R&amp;D and regulatory processes that AI cannot substitute [1]. Drug development requires FDA clinical trial approval, patient recruitment, and manufacturing scale-up that are inherently human and physical. However, AI-driven drug discovery platforms from competitors (Recursion, Absci, large pharma AI labs) could accelerate competitive pipelines and compress MacroGenics' differentiation in target selection and molecule optimization [2]. The ADC space specifically requires complex bioconjugation chemistry and manufacturing that remains AI-resistant. AI Opportunity (1/1): While MacroGenics has not disclosed AI deployment, the broader pharma industry is using AI for target identification and clinical trial optimization; MacroGenics' collaboration partners Gilead and Incyte are investing in AI tools that could indirectly benefit joint programs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23</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MacroGenics Reports First Quarter 2026 Financial Results and Highlights Business Transformation — GlobeNewswire/BioSpace, May 2026</w:t>
      </w:r>
    </w:p>
    <w:p>
      <w:pPr>
        <w:spacing w:before="20" w:after="20"/>
        <w:ind w:left="170"/>
      </w:pPr>
      <w:r>
        <w:rPr>
          <w:rFonts w:ascii="Calibri" w:hAnsi="Calibri"/>
          <w:b/>
          <w:color w:val="4A6B25"/>
          <w:sz w:val="15"/>
        </w:rPr>
        <w:t xml:space="preserve">2. </w:t>
      </w:r>
      <w:r>
        <w:rPr>
          <w:rFonts w:ascii="Calibri" w:hAnsi="Calibri"/>
          <w:b w:val="0"/>
          <w:color w:val="3A4A28"/>
          <w:sz w:val="17"/>
        </w:rPr>
        <w:t>MacroGenics Clinical Update (lorigerlimab LINNET data cut) — SEC 8-K Exhibit 99.1, 2026; MacroGenics Corporate Website and Glassdoor Reviews (3.4/5, 67 reviews)</w:t>
      </w:r>
    </w:p>
    <w:p>
      <w:pPr>
        <w:spacing w:before="20" w:after="20"/>
        <w:ind w:left="170"/>
      </w:pPr>
      <w:r>
        <w:rPr>
          <w:rFonts w:ascii="Calibri" w:hAnsi="Calibri"/>
          <w:b/>
          <w:color w:val="4A6B25"/>
          <w:sz w:val="15"/>
        </w:rPr>
        <w:t xml:space="preserve">3. </w:t>
      </w:r>
      <w:r>
        <w:rPr>
          <w:rFonts w:ascii="Calibri" w:hAnsi="Calibri"/>
          <w:b w:val="0"/>
          <w:color w:val="3A4A28"/>
          <w:sz w:val="17"/>
        </w:rPr>
        <w:t>MacroGenics 2025 Proxy Statement (DEF 14A) — SEC Filing, April 2025</w:t>
      </w:r>
    </w:p>
    <w:p>
      <w:pPr>
        <w:spacing w:before="20" w:after="20"/>
        <w:ind w:left="170"/>
      </w:pPr>
      <w:r>
        <w:rPr>
          <w:rFonts w:ascii="Calibri" w:hAnsi="Calibri"/>
          <w:b/>
          <w:color w:val="4A6B25"/>
          <w:sz w:val="15"/>
        </w:rPr>
        <w:t xml:space="preserve">4. </w:t>
      </w:r>
      <w:r>
        <w:rPr>
          <w:rFonts w:ascii="Calibri" w:hAnsi="Calibri"/>
          <w:b w:val="0"/>
          <w:color w:val="3A4A28"/>
          <w:sz w:val="17"/>
        </w:rPr>
        <w:t>stockanalysis.com — MGNX financials, ratios, and key statistics,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MacroGenics Q2 2026 Earnings Press Release (Form 8-K) — SEC Filing, August 2026; TradingView Q2 2026 10-Q Summary</w:t>
      </w:r>
    </w:p>
    <w:p>
      <w:pPr>
        <w:spacing w:before="20" w:after="20"/>
        <w:ind w:left="170"/>
      </w:pPr>
      <w:r>
        <w:rPr>
          <w:rFonts w:ascii="Calibri" w:hAnsi="Calibri"/>
          <w:b/>
          <w:color w:val="4A6B25"/>
          <w:sz w:val="15"/>
        </w:rPr>
        <w:t xml:space="preserve">6. </w:t>
      </w:r>
      <w:r>
        <w:rPr>
          <w:rFonts w:ascii="Calibri" w:hAnsi="Calibri"/>
          <w:b w:val="0"/>
          <w:color w:val="3A4A28"/>
          <w:sz w:val="17"/>
        </w:rPr>
        <w:t>Yahoo Finance / yfinance data for MGNX,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