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MIAX</w:t>
      </w:r>
      <w:r>
        <w:rPr>
          <w:rFonts w:ascii="Calibri" w:hAnsi="Calibri"/>
          <w:b/>
          <w:color w:val="1A2010"/>
          <w:sz w:val="40"/>
        </w:rPr>
        <w:t xml:space="preserve">  Miami International Holdings, Inc.</w:t>
      </w:r>
    </w:p>
    <w:p>
      <w:pPr>
        <w:spacing w:after="120"/>
      </w:pPr>
      <w:r>
        <w:rPr>
          <w:rFonts w:ascii="Calibri" w:hAnsi="Calibri"/>
          <w:b/>
          <w:color w:val="6E8450"/>
          <w:sz w:val="18"/>
        </w:rPr>
        <w:t>GROWTH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Miami International Holdings operates regulated financial exchanges across options, equities, futures, and international listings. Platforms include MIAX Options, MIAX Pearl, MIAX Emerald, and MIAX Sapphire for options; MIAX Pearl Equities for U.S. equities; MIAX Futures for derivatives; and the Bermuda Stock Exchange (BSX) and The International Stock Exchange (TISE) for international listings. Also owns Dorman Trading, a full-service futures commission merchant. IPO'd on NYSE in August 2025. Q2 2026 revenue grew 35% YoY to $141.1M with adjusted EBITDA margin of 54%. Market cap approximately $3.5B.</w:t>
      </w:r>
    </w:p>
    <w:p>
      <w:r>
        <w:rPr>
          <w:rFonts w:ascii="Calibri" w:hAnsi="Calibri"/>
          <w:b/>
          <w:color w:val="6E8450"/>
          <w:sz w:val="18"/>
        </w:rPr>
        <w:t>439 Employees · https://www.miaxglobal.com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MIAX built five exchange venues from scratch — MIAX Options (2012), MIAX Pearl (2017), MIAX Emerald (2019), MIAX Sapphire, and acquired the Bermuda Stock Exchange — growing from zero to a significant U.S. multi-listed options market share over 13 years [1]. Q2 2026 revenue surged 35% YoY to $141.1M following Q1's 40% growth to $128.6M, demonstrating accelerating momentum [1][2]. CEO Gallagher was named Chief Executive of the Year by FOW International Awards 2026 [3]. AI Deployment (0/2): No AI-powered products shipping to customers and no quantified AI-driven cost savings reported in Q1 or Q2 2026 earnings [1][2]. Technology-driven exchange operations but no specific AI deployment. Market Share (2/2): MIAX continues gaining U.S. multi-listed options market share, with Q2 2026 average daily volume increasing 25% YoY to 11.0 million contracts [2]. The company is the fastest-growing exchange group challenging CBOE (~33%), NYSE (~20%), and Nasdaq (~19%). Product Pipeline (1/2): Expanding across equities (MIAX Pearl Equities), futures (MIAX Futures with Hard Red Spring Wheat contracts), and international listings through BSX and TISE, but specific next-gen technology launches lack firm timelines [1]. R&amp;D Intensity (1/1): Proprietary exchange matching engine technology is central to the business model; MIAX has been recognized for technology-driven innovation in financial markets with three consecutive TabbFORUM 40 awards for CEO Gallagher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MIAX's stated purpose centers on building regulated financial markets with integrity, transparency, and reliability — clear and functional but not distinctive or inspiring beyond financial market infrastructure mechanics [3]. Interchangeable with most exchange operators' missions. Community Impact (0/2): MIAX formed an ESG committee in 2021 with employees from junior to executive levels and established a Corporate Social Responsibility Group, but no specific charitable programs, dollar amounts, or measurable community impact were identified [4]. Employee Retention (0/2): No specific retention or tenure data available for this 439-person company. Limited Glassdoor reviews show mixed cultural feedback with some citing micromanagement concerns [3]. Insider Buying (0/2): CEO Thomas Gallagher sold approximately $1.99M in shares in recent transactions, continuing the pattern of net insider selling post-IPO [3]. No evidence of discretionary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5yr revenue CAGR and PEG excluded due to limited public company history (IPO August 2025). D/E of 2.01% reflects a virtually debt-free balance sheet with $701.7M cash against $23.1M total debt, scoring a perfect 1.0 [5]. ROE of 18.14% exceeds the 15% target, scoring 1.0 with 2x growth weighting as IPO charges roll off [5]. Revenue growth of 18.3% YoY exceeds the 10% target, with Q1 at 40% and Q2 at 35% YoY growth demonstrating acceleration [1][2]. Forward P/E of 18.38 now sits below the 20x target (improved from 28.36 prior screen) following the stock's pullback from $47 to $35.64, scoring a perfect 1.0 [5]. The primary drag is GAAP profit margin of 9.7%, still partially depressed by IPO-era charges, scoring 0.49 against the 20% target — underlying adjusted EBITDA margins of 54% in Q2 2026 indicate significantly stronger core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MIAX is fundamentally a competitive machine built to capture market share from incumbent exchanges — a finite game objective executed with discipline over 19 years. Founder-CEO Tom Gallagher's 14+ year tenure provides leadership continuity, but the company's language and strategy are oriented around winning market share percentage points and volume growth rather than advancing a transformative vision for capital markets. CEO insider selling post-IPO and competitive language focused on share gains from CBOE, NYSE, and Nasdaq reflect finite milestone-driven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MIAX exists to create competition in U.S. options markets by providing alternative exchange venues — a legitimate purpose that benefits participants through tighter spreads and lower fees, but it reads as a competitive strategy rather than a Just Cause in Sinek's framework [3]. The company measures success by market share percentages and volume growth metrics, not by advancing a vision of a better future for capital markets. The mission of 'integrity, transparency and reliability' is interchangeable with any exchange operator's stated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439 employees, MIAX maintains a relatively small, focused organization with stable leadership under founder-CEO Gallagher [3]. The ESG committee established in 2021 includes employees from junior to executive levels, suggesting some cross-organizational engagement [4]. However, limited Glassdoor data with mixed cultural feedback — some citing micromanagement and after-hours expectations — tempers the assessment. Adequate trust for the industry, but no evidence of exceptional organizational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MIAX's competitive language is fundamentally finite — centered on gaining market share from CBOE, NYSE, and Nasdaq [1][2]. Earnings materials emphasize share gains and volume growth metrics as primary success measures. No evidence that management references competitors' strengths as motivation for self-improvement; competitive framing is about capturing share, not learning from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MIAX has expanded from a single options exchange to a multi-asset-class platform spanning options (four exchanges), equities, futures (including commodity products like Hard Red Spring Wheat), and international listings (BSX, TISE) [1]. The August 2025 IPO represented a structural transformation from private to public. The acquisition of Dorman Trading added futures commission merchant capabilities. These are meaningful but incremental extensions of the exchange platform model rather than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Gallagher demonstrated genuine conviction by building MIAX from a startup exchange to a $3.5B public company over 19 years, competing directly against deeply entrenched incumbents (CBOE, NYSE, Nasdaq) with vastly greater resources [1][3]. Named FOW Chief Executive of the Year 2026, validating industry recognition of this achievement. Spending years building technology and regulatory infrastructure as a private company before the IPO required patience. However, continued CEO stock sales post-IPO introduce questions about long-term orientation versus harvesting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Miami International Holdings is delivering accelerating growth as a regulated exchange operator with Q2 2026 revenue of $141.1M (+35% YoY), adjusted EBITDA of $76.8M (+57%), and adjusted EBITDA margin expanding to 54% [2]. The company's Q1 2026 was even stronger at 40% revenue growth with a 51% adjusted EBITDA margin [1]. At $35.64, the stock now trades at 18.4x forward earnings (down from 28.4x) following a pullback from $47, offering a more attractive entry point for a high-growth exchange operator with virtually zero debt ($23.1M against $701.7M cash), 18.1% ROE, and structural operating leverage [5]. Options market ADV grew 25% YoY to 11.0 million contracts in Q2, and the secular growth in U.S. options trading volume provides a durable tailwind. CEO Gallagher's FOW Chief Executive of the Year award and TabbFORUM 40 recognition validate industry standing [3].</w:t>
      </w:r>
    </w:p>
    <w:p>
      <w:pPr>
        <w:spacing w:after="120"/>
      </w:pPr>
      <w:r>
        <w:rPr>
          <w:rFonts w:ascii="Calibri" w:hAnsi="Calibri"/>
          <w:b w:val="0"/>
          <w:color w:val="3A4A28"/>
          <w:sz w:val="20"/>
        </w:rPr>
        <w:t>The primary risk is cyclical volume dependence: exchange revenues are correlated with market volatility, and the elevated volatility driving record 2026 volumes may normalize, compressing revenue growth from the current 35-40% trajectory [1][2]. GAAP profit margin remains only 9.7% as IPO-era charges (including $107.7M debt extinguishment) continue to depress reported profitability relative to adjusted metrics [5]. The options exchange market is fiercely competitive — CBOE (~33%), NYSE (~20%), and Nasdaq (~19%) have vastly greater resources and institutional relationships, and MIAX's share gains could plateau as incumbents respond with pricing and technology investment. Limited public company history (IPO August 2025) means only three quarters of public financial data exist, providing minimal track record for valuation models. CEO insider selling of approximately $2M in shares continues the post-IPO selling pattern, creating overhang [3]. The stock's 16% decline from $42.51 SMA-50 suggests near-term momentum weakness.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U.S. options market share gains as MIAX Sapphire ramps and retail options participation maintains secular growth, with each share percentage point worth approximately $30M+ in incremental annual revenue [1][2]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normalization as IPO-era one-time charges fully roll off, closing the gap between 9.7% GAAP profit margin and 54% adjusted EBITDA margin and driving earnings re-rating [2]</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to 18.4x from 28.4x creates a potential value re-rating opportunity if Q3-Q4 results maintain 30%+ revenue growth trajectory and the stock re-rates toward high-growth exchange peers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Options market volumes are cyclical and correlated with volatility — the record Q1-Q2 2026 volumes driven by elevated VIX may reflect a transient volatility spike rather than sustainable growth, risking revenue deceleration in normalized markets [1][2]</w:t>
      </w:r>
    </w:p>
    <w:p>
      <w:pPr>
        <w:spacing w:before="40" w:after="40"/>
        <w:ind w:left="283"/>
      </w:pPr>
      <w:r>
        <w:rPr>
          <w:rFonts w:ascii="Calibri" w:hAnsi="Calibri"/>
          <w:b/>
          <w:color w:val="4A6B25"/>
          <w:sz w:val="20"/>
        </w:rPr>
        <w:t xml:space="preserve">2. </w:t>
      </w:r>
      <w:r>
        <w:rPr>
          <w:rFonts w:ascii="Calibri" w:hAnsi="Calibri"/>
          <w:b w:val="0"/>
          <w:color w:val="3A4A28"/>
          <w:sz w:val="20"/>
        </w:rPr>
        <w:t>Incumbent exchanges (CBOE, Nasdaq, NYSE) with vastly greater resources may respond to MIAX's share gains with aggressive pricing, technology investment, or regulatory lobbying that compresses margins and slows share capture [1]</w:t>
      </w:r>
    </w:p>
    <w:p>
      <w:pPr>
        <w:spacing w:before="40" w:after="40"/>
        <w:ind w:left="283"/>
      </w:pPr>
      <w:r>
        <w:rPr>
          <w:rFonts w:ascii="Calibri" w:hAnsi="Calibri"/>
          <w:b/>
          <w:color w:val="4A6B25"/>
          <w:sz w:val="20"/>
        </w:rPr>
        <w:t xml:space="preserve">3. </w:t>
      </w:r>
      <w:r>
        <w:rPr>
          <w:rFonts w:ascii="Calibri" w:hAnsi="Calibri"/>
          <w:b w:val="0"/>
          <w:color w:val="3A4A28"/>
          <w:sz w:val="20"/>
        </w:rPr>
        <w:t>Limited public company track record (IPO August 2025) with only three quarters of public earnings data, combined with continued CEO insider selling, creates uncertainty about sustainable earnings power and insider conviction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MIAX's core business is SEC-registered national securities exchange infrastructure — deeply regulated, essential market plumbing that AI structurally cannot displace [3]. Operating regulated exchanges requires SEC licensing, extensive compliance frameworks, market surveillance systems, clearinghouse connectivity, and regulatory reporting capabilities that represent institutional barriers far beyond AI's reach. Network effects (liquidity attracts liquidity), high switching costs for integrated market participants, and proprietary data center infrastructure create additional structural defenses [1]. AI-driven algorithmic and high-frequency trading actually increases exchange volumes rather than displacing them — every AI trading strategy needs an exchange to execute on. The regulatory moat alone provides near-permanent protection against AI disruption [3]. AI Opportunity (0/1): MIAX does not generate quantifiable revenue from AI-specific products or services. The exchange technology uses sophisticated matching algorithms and low-latency infrastructure, but these are not marketed or reported as AI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Miami International Holdings Q1 2026 Earnings Release — record revenue $128.6M (+40% YoY), adjusted EBITDA $66.1M, 51% margin, May 2026</w:t>
      </w:r>
    </w:p>
    <w:p>
      <w:pPr>
        <w:spacing w:before="20" w:after="20"/>
        <w:ind w:left="170"/>
      </w:pPr>
      <w:r>
        <w:rPr>
          <w:rFonts w:ascii="Calibri" w:hAnsi="Calibri"/>
          <w:b/>
          <w:color w:val="4A6B25"/>
          <w:sz w:val="15"/>
        </w:rPr>
        <w:t xml:space="preserve">2. </w:t>
      </w:r>
      <w:r>
        <w:rPr>
          <w:rFonts w:ascii="Calibri" w:hAnsi="Calibri"/>
          <w:b w:val="0"/>
          <w:color w:val="3A4A28"/>
          <w:sz w:val="17"/>
        </w:rPr>
        <w:t>Miami International Holdings Q2 2026 Earnings Release — revenue $141.1M (+35% YoY), adjusted EBITDA $76.8M (+57%), 54% margin, adjusted EPS $0.48, August 2026</w:t>
      </w:r>
    </w:p>
    <w:p>
      <w:pPr>
        <w:spacing w:before="20" w:after="20"/>
        <w:ind w:left="170"/>
      </w:pPr>
      <w:r>
        <w:rPr>
          <w:rFonts w:ascii="Calibri" w:hAnsi="Calibri"/>
          <w:b/>
          <w:color w:val="4A6B25"/>
          <w:sz w:val="15"/>
        </w:rPr>
        <w:t xml:space="preserve">3. </w:t>
      </w:r>
      <w:r>
        <w:rPr>
          <w:rFonts w:ascii="Calibri" w:hAnsi="Calibri"/>
          <w:b w:val="0"/>
          <w:color w:val="3A4A28"/>
          <w:sz w:val="17"/>
        </w:rPr>
        <w:t>MIAX Leadership, Awards, and Company Profile — CEO Thomas Gallagher FOW Chief Executive of the Year 2026, TabbFORUM 40 (3 consecutive years), miaxglobal.com,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MIAX ESG Committee and Corporate Social Responsibility Group — formed 2021, MarketScreener SEC filings,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MIAX Key Statistics: Forward P/E 18.38, ROE 18.14%, D/E 2.01%, Stock Price $35.64,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