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MLCO</w:t>
      </w:r>
      <w:r>
        <w:rPr>
          <w:rFonts w:ascii="Calibri" w:hAnsi="Calibri"/>
          <w:b/>
          <w:color w:val="1A2010"/>
          <w:sz w:val="40"/>
        </w:rPr>
        <w:t xml:space="preserve">  Melco Resorts &amp; Entertainment Limited</w:t>
      </w:r>
    </w:p>
    <w:p>
      <w:pPr>
        <w:spacing w:after="120"/>
      </w:pPr>
      <w:r>
        <w:rPr>
          <w:rFonts w:ascii="Calibri" w:hAnsi="Calibri"/>
          <w:b/>
          <w:color w:val="6E8450"/>
          <w:sz w:val="18"/>
        </w:rPr>
        <w:t>GROWTH SLEEVE · 2026-09-10 · Inspire: -1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Resorts &amp; Casinos · NASDAQ · Hong Kong</w:t>
      </w:r>
    </w:p>
    <w:p>
      <w:pPr>
        <w:spacing w:after="80"/>
      </w:pPr>
      <w:r>
        <w:rPr>
          <w:rFonts w:ascii="Calibri" w:hAnsi="Calibri"/>
          <w:b w:val="0"/>
          <w:color w:val="3A4A28"/>
          <w:sz w:val="20"/>
        </w:rPr>
        <w:t>Melco Resorts &amp; Entertainment operates integrated casino resorts in Macau (City of Dreams, Studio City, Altira, Mocha Clubs), the Philippines (City of Dreams Manila), and Cyprus (City of Dreams Mediterranean). Controlled by Chairman and CEO Lawrence Ho, the company is one of only six licensed Macau casino concessionaires, focused on premium-mass gaming and luxury hospitality. Q1 2026 revenue of $1.37B grew 11% YoY with Adjusted Property EBITDA of $381M (+12%). Moody's projects full-year 2026 revenue of $5.4B with EBITDA of $1.3B. Market cap is approximately $3.15B against an enterprise value of $9.55B, reflecting $6.4B+ in net debt.</w:t>
      </w:r>
    </w:p>
    <w:p>
      <w:r>
        <w:rPr>
          <w:rFonts w:ascii="Calibri" w:hAnsi="Calibri"/>
          <w:b/>
          <w:color w:val="6E8450"/>
          <w:sz w:val="18"/>
        </w:rPr>
        <w:t>21,000 Employees · https://www.melco-resorts.com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Q1 2026 revenue of $1.37B rose 11% YoY, driven by mass market gaming recovery, with operating income of $179M and Adjusted Property EBITDA of $381M (+12%) [1]. The REM luxury hotel opening at City of Dreams Macau in Q3 2026 is a property refresh, not a business model innovation. No new category creation, market-defining product, or transformative pivot in the last five years — the company operates the same integrated resort model it has run for over a decade. AI Deployment (0/2): Management references 'AI-powered service innovations' in guest experience and has hired analytics talent for gaming operations, but no AI products are shipping to customers and no quantified AI-driven savings or revenue have been disclosed [2]. Market Share (1/2): One of six licensed Macau concessionaires, but mid-tier behind Galaxy Entertainment, Sands China, and Wynn Macau in gross gaming revenue market share. City of Dreams is a recognized premium property but Melco is not the category leader [1]. Pipeline (1/2): REM hotel phased opening in Q3 2026 is specific with a timeline, and CapEx revised to $425M for 2026 supports ongoing property investment [1]. However, no next-generation business lines or transformative products are announced beyond property refreshes. R&amp;D Intensity (0/1): Casino operators invest in property development and guest technology, not R&amp;D in a technology sense. No meaningful R&amp;D spending reported.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Melco's purpose centers on premium entertainment and hospitality excellence, but the core business is casino gambling — an industry that profits from player losses and carries inherent social harm concerns around addiction. The mission is fundamentally constrained by the product category, and no distinctive purpose beyond industry-standard 'entertainment and hospitality' language has been articulated [2]. Community Impact (1/2): Melco was included in S&amp;P's 2026 Sustainability Yearbook and publishes 'Above &amp; Beyond' sustainability reports with a goal to eliminate climate impact by 2030. SME supplier support programs and Macau community initiatives demonstrate some investment, though no specific dollar amounts for charitable giving are cited [3]. Employee Retention (1/2): The company rehired staff eliminated during COVID, signaling some organizational loyalty. However, Macau casino industry turnover is structurally high, and no specific retention or tenure data distinguishes Melco from peers. Lawrence Ho has led the company since founding in 2004, providing 22 years of leadership continuity [2]. Insider Buying (0/2): Lawrence Ho is the controlling shareholder with 20.6M+ direct shares, but insider transactions in 2026 have consisted primarily of tax-withholding share dispositions rather than open-market purchases [4]. No notable net insider buying at current depressed prices.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with severe structural impairments. Forward P/E of 13.66 is well below the 20x target, reflecting deep value or distress pricing (score 1.0) [5]. Revenue growth YoY of 11% exceeds the 10% target (score 1.0) [1]. However, D/E is effectively negative at -561% due to negative book equity with ~$6.4B net debt, scoring 0 at the floor [5]. ROE of -370% is distorted by negative equity — despite positive TTM net income of ~$189M, the negative equity base makes ROE meaningless, scoring 0 [5]. Profit margin of 3.56% is far below the 20% target (score 0.18). Forward PEG of -0.14 is negative, scoring 0 (2x weight) [5]. Five-year revenue CAGR is excluded due to COVID-era distortion making the calculation unreliable. The weighted calculation yields: [1(0) + 2(0) + 1(1.0) + 1(1.0) + 1(0.18) + 2(0)] / 8 x 10 = 2.7, rounded to 3. Liquidity floor cleared: 3.23M avg volume x $5.21 = $16.8M daily notional.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Melco under Lawrence Ho demonstrates founder-led conviction and geographic diversification (Macau, Manila, Cyprus), but operates with a primarily finite mindset. The casino gaming industry is inherently zero-sum — quarterly gross gaming revenue market share drives strategic decisions. Ho's competitive framing, the emphasis on GGR ranking versus peers, and structurally high employee turnover signal finite-game thinking. The business profits from gambling losses, fundamentally constraining the Just Cause ceiling regardless of execution quality.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Melco's stated purpose centers on entertainment excellence and responsible gaming, but the casino industry profits from player losses — gambling addiction is an inherent externality that caps the Just Cause ceiling regardless of execution quality [3]. Lawrence Ho's vision since founding in 2004 is specific to building premium integrated resorts, not a future state that transcends the gambling business. The sustainability commitment (climate neutrality by 2030) and community programs are genuine but secondary to the core gambling revenue model.</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Macau casino industry turnover is structurally high, driven by demanding shift work, customer-facing stress, and seasonal labor dynamics. While Melco rehired COVID-eliminated staff, no specific employee satisfaction or retention data distinguishes the company from peers in a positive direction [2]. Lawrence Ho has provided stable founder leadership for 22 years, but the lack of published employee engagement data and the industry's inherent labor challenges signal a low-trust environment by Sinek's standards.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Melco's competitive posture focuses on GGR market share ranking against Galaxy Entertainment, Sands China, and Wynn Macau. The language in earnings calls and press materials centers on 'competitive positioning' and 'market share' rather than learning from rivals' strengths. Casino industry competition is inherently finite — the pot of Macau GGR is largely fixed, and operators compete for slices rather than expanding the frontier.</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Melco has expanded from Macau-only to a three-country operator (Philippines 2015, Cyprus ongoing) and pivoted from VIP-junket dependence to premium mass gaming after China's 2022 junket crackdown and concession reform [1]. This demonstrates meaningful adaptability to existential regulatory threats. However, the core business model — integrated casino resort operation — has remained fundamentally unchanged since founding, and the geographic expansion was incremental rather than transformative.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While Lawrence Ho invested in Cyprus during the COVID pandemic when Macau was shut down and most operators were retrenching, this geographic diversification was a strategic necessity driven by concentration risk rather than a principled bet [1]. The Macau concession renewal required compliance with Beijing's non-gaming investment mandates, which was compelled rather than chosen. The $425M CapEx commitment for 2026 maintains properties but does not represent a courageous departure from the status quo. No evidence of sacrificing profitable business lines or making costly principled stands.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Melco delivered Q1 2026 revenue of $1.37B (up 11% YoY) with Adjusted Property EBITDA of $381M (+12%), confirming the Macau premium-mass recovery trajectory [1]. Moody's projects full-year 2026 revenue of $5.4B with EBITDA of $1.3B, supporting a deleveraging path from the current $6.4B+ net debt position. At a forward P/E of 13.66, the stock trades at a significant discount to Macau peers and to its own historical multiples — 12 analysts maintain a consensus price target implying substantial upside from $5.21 [5]. Lawrence Ho's 22-year founder-led tenure provides strategic continuity, and the REM luxury hotel opening at City of Dreams Macau in Q3 2026 adds premium room inventory to capture the highest-margin gaming segment. Only six Macau gaming concessions exist, creating a regulatory moat that limits competition regardless of market conditions.</w:t>
      </w:r>
    </w:p>
    <w:p>
      <w:pPr>
        <w:spacing w:after="120"/>
      </w:pPr>
      <w:r>
        <w:rPr>
          <w:rFonts w:ascii="Calibri" w:hAnsi="Calibri"/>
          <w:b w:val="0"/>
          <w:color w:val="3A4A28"/>
          <w:sz w:val="20"/>
        </w:rPr>
        <w:t>The bear case is severe and structural. Total debt of approximately $6.4B against negative book equity produces a D/E of -561% and an enterprise value of $9.55B — more than 3x the $3.15B market cap — reflecting extreme leverage that leaves virtually no equity cushion [5]. Profit margin of 3.56% is razor-thin for the leverage carried, and the negative PEG ratio suggests analysts expect earnings growth to decelerate. The stock has declined significantly from its 52-week highs, reflecting market skepticism about the deleveraging timeline. China regulatory risk remains omnipresent — further crackdowns on cross-border capital flows, junket operations, or digital yuan capital controls could impair Macau GGR at any time without warning. The 'Gambling' Inspire negative attribution and -1 score signal fundamental concerns about the business model's social impact for faith-based investors. Geographic diversification into Cyprus and the Philippines has not yet proven it can offset Macau concentration, and the company faces structural challenges in achieving the profit margins needed to service its debt load.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REM luxury hotel phased opening at City of Dreams Macau in Q3 2026 adding premium room inventory to capture high-margin premium-mass gaming segment, with $425M CapEx commitment supporting property enhancements [1]</w:t>
      </w:r>
    </w:p>
    <w:p>
      <w:pPr>
        <w:spacing w:before="40" w:after="40"/>
        <w:ind w:left="283"/>
      </w:pPr>
      <w:r>
        <w:rPr>
          <w:rFonts w:ascii="Calibri" w:hAnsi="Calibri"/>
          <w:b/>
          <w:color w:val="4A6B25"/>
          <w:sz w:val="20"/>
        </w:rPr>
        <w:t xml:space="preserve">2. </w:t>
      </w:r>
      <w:r>
        <w:rPr>
          <w:rFonts w:ascii="Calibri" w:hAnsi="Calibri"/>
          <w:b w:val="0"/>
          <w:color w:val="3A4A28"/>
          <w:sz w:val="20"/>
        </w:rPr>
        <w:t>Moody's projects EBITDA of $1.3B in 2026, which if achieved would begin meaningful deleveraging from $6.4B+ net debt and potentially trigger a re-rating from distressed to recovery valuation multiples</w:t>
      </w:r>
    </w:p>
    <w:p>
      <w:pPr>
        <w:spacing w:before="40" w:after="40"/>
        <w:ind w:left="283"/>
      </w:pPr>
      <w:r>
        <w:rPr>
          <w:rFonts w:ascii="Calibri" w:hAnsi="Calibri"/>
          <w:b/>
          <w:color w:val="4A6B25"/>
          <w:sz w:val="20"/>
        </w:rPr>
        <w:t xml:space="preserve">3. </w:t>
      </w:r>
      <w:r>
        <w:rPr>
          <w:rFonts w:ascii="Calibri" w:hAnsi="Calibri"/>
          <w:b w:val="0"/>
          <w:color w:val="3A4A28"/>
          <w:sz w:val="20"/>
        </w:rPr>
        <w:t>Forward P/E of 13.66 represents deep value in a sector with limited competition (only 6 Macau concessions), with consensus analyst targets implying significant upside from $5.21 if the macro recovery sustains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Negative book equity with $6.4B+ net debt and enterprise value of $9.55B (3x market cap) creates existential leverage risk — any Macau GGR deceleration could trigger covenant stress, restrict capital returns, or force dilutive equity raises [5]</w:t>
      </w:r>
    </w:p>
    <w:p>
      <w:pPr>
        <w:spacing w:before="40" w:after="40"/>
        <w:ind w:left="283"/>
      </w:pPr>
      <w:r>
        <w:rPr>
          <w:rFonts w:ascii="Calibri" w:hAnsi="Calibri"/>
          <w:b/>
          <w:color w:val="4A6B25"/>
          <w:sz w:val="20"/>
        </w:rPr>
        <w:t xml:space="preserve">2. </w:t>
      </w:r>
      <w:r>
        <w:rPr>
          <w:rFonts w:ascii="Calibri" w:hAnsi="Calibri"/>
          <w:b w:val="0"/>
          <w:color w:val="3A4A28"/>
          <w:sz w:val="20"/>
        </w:rPr>
        <w:t>China regulatory risk remains the dominant overhang — crackdowns on cross-border capital flows, junket operations, or digital yuan capital controls could materially impair Macau gaming revenue at any time without warning</w:t>
      </w:r>
    </w:p>
    <w:p>
      <w:pPr>
        <w:spacing w:before="40" w:after="40"/>
        <w:ind w:left="283"/>
      </w:pPr>
      <w:r>
        <w:rPr>
          <w:rFonts w:ascii="Calibri" w:hAnsi="Calibri"/>
          <w:b/>
          <w:color w:val="4A6B25"/>
          <w:sz w:val="20"/>
        </w:rPr>
        <w:t xml:space="preserve">3. </w:t>
      </w:r>
      <w:r>
        <w:rPr>
          <w:rFonts w:ascii="Calibri" w:hAnsi="Calibri"/>
          <w:b w:val="0"/>
          <w:color w:val="3A4A28"/>
          <w:sz w:val="20"/>
        </w:rPr>
        <w:t>Profit margin of 3.56% provides no cushion for the leverage carried — a single weak quarter could push the company back into losses, and the negative PEG ratio suggests the market expects growth to decelerate from current levels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Physical casino resort operations — gaming floors, hotel rooms, restaurants, entertainment venues, and the Macau travel experience — are structurally insulated from AI disruption [2]. People travel to Macau to be physically present; the sensory experience of a luxury integrated resort cannot be replicated digitally. Only six operators hold Macau gaming concessions, creating a regulatory moat that AI cannot breach. The physical infrastructure investment ($425M CapEx in 2026 alone) creates barriers to entry that software cannot circumvent. However, online gambling and iGaming platforms powered by AI could incrementally pressure land-based gaming margins over time, and AI-enhanced fraud detection and responsible gaming requirements could increase compliance costs, preventing a full IMMUNE score. AI Opportunity (0/1): Melco references 'AI-powered service innovations' in guest experience and has hired analytics talent for data-driven gaming operations, but no quantifiable AI revenue or specific cost savings have been reported [2]. AI remains a back-office optimization tool rather than a revenue driver.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-1</w:t>
      </w:r>
      <w:r>
        <w:rPr>
          <w:rFonts w:ascii="Calibri" w:hAnsi="Calibri"/>
          <w:b/>
          <w:color w:val="B8860B"/>
          <w:sz w:val="20"/>
        </w:rPr>
        <w:t xml:space="preserve">    MIXED</w:t>
      </w:r>
    </w:p>
    <w:p>
      <w:pPr>
        <w:spacing w:before="80" w:after="40"/>
      </w:pPr>
      <w:r>
        <w:rPr>
          <w:rFonts w:ascii="Calibri" w:hAnsi="Calibri"/>
          <w:b/>
          <w:color w:val="6E8450"/>
          <w:sz w:val="18"/>
        </w:rPr>
        <w:t xml:space="preserve">Negative: </w:t>
      </w:r>
      <w:r>
        <w:rPr>
          <w:rFonts w:ascii="Calibri" w:hAnsi="Calibri"/>
          <w:b/>
          <w:color w:val="DC2626"/>
          <w:sz w:val="17"/>
        </w:rPr>
        <w:t xml:space="preserve"> Gambling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Melco Resorts Q1 2026 Earnings Release — Revenue $1.37B (+11% YoY), Adjusted Property EBITDA $381M (+12%), CapEx $425M Guidance, 6-K SEC Filing, May 2026</w:t>
      </w:r>
    </w:p>
    <w:p>
      <w:pPr>
        <w:spacing w:before="20" w:after="20"/>
        <w:ind w:left="170"/>
      </w:pPr>
      <w:r>
        <w:rPr>
          <w:rFonts w:ascii="Calibri" w:hAnsi="Calibri"/>
          <w:b/>
          <w:color w:val="4A6B25"/>
          <w:sz w:val="15"/>
        </w:rPr>
        <w:t xml:space="preserve">2. </w:t>
      </w:r>
      <w:r>
        <w:rPr>
          <w:rFonts w:ascii="Calibri" w:hAnsi="Calibri"/>
          <w:b w:val="0"/>
          <w:color w:val="3A4A28"/>
          <w:sz w:val="17"/>
        </w:rPr>
        <w:t>Melco Resorts Leadership and AI Strategy — Lawrence Ho 22-Year Tenure, AI-Powered Guest Innovations, CEO Today Magazine October 2024, Gambling Insider Profile</w:t>
      </w:r>
    </w:p>
    <w:p>
      <w:pPr>
        <w:spacing w:before="20" w:after="20"/>
        <w:ind w:left="170"/>
      </w:pPr>
      <w:r>
        <w:rPr>
          <w:rFonts w:ascii="Calibri" w:hAnsi="Calibri"/>
          <w:b/>
          <w:color w:val="4A6B25"/>
          <w:sz w:val="15"/>
        </w:rPr>
        <w:t xml:space="preserve">3. </w:t>
      </w:r>
      <w:r>
        <w:rPr>
          <w:rFonts w:ascii="Calibri" w:hAnsi="Calibri"/>
          <w:b w:val="0"/>
          <w:color w:val="3A4A28"/>
          <w:sz w:val="17"/>
        </w:rPr>
        <w:t>Melco Resorts Sustainability — S&amp;P 2026 Sustainability Yearbook, Climate Neutrality by 2030 Goal, 'Above &amp; Beyond' ESG Report</w:t>
      </w:r>
    </w:p>
    <w:p>
      <w:pPr>
        <w:spacing w:before="20" w:after="20"/>
        <w:ind w:left="170"/>
      </w:pPr>
      <w:r>
        <w:rPr>
          <w:rFonts w:ascii="Calibri" w:hAnsi="Calibri"/>
          <w:b/>
          <w:color w:val="4A6B25"/>
          <w:sz w:val="15"/>
        </w:rPr>
        <w:t xml:space="preserve">4. </w:t>
      </w:r>
      <w:r>
        <w:rPr>
          <w:rFonts w:ascii="Calibri" w:hAnsi="Calibri"/>
          <w:b w:val="0"/>
          <w:color w:val="3A4A28"/>
          <w:sz w:val="17"/>
        </w:rPr>
        <w:t>Nasdaq MLCO Insider Activity — Tax-Withholding Dispositions, Lawrence Ho 20.6M+ Direct Shares, SEC Form 4 Filings 2026</w:t>
      </w:r>
    </w:p>
    <w:p>
      <w:pPr>
        <w:spacing w:before="20" w:after="20"/>
        <w:ind w:left="170"/>
      </w:pPr>
      <w:r>
        <w:rPr>
          <w:rFonts w:ascii="Calibri" w:hAnsi="Calibri"/>
          <w:b/>
          <w:color w:val="4A6B25"/>
          <w:sz w:val="15"/>
        </w:rPr>
        <w:t xml:space="preserve">5. </w:t>
      </w:r>
      <w:r>
        <w:rPr>
          <w:rFonts w:ascii="Calibri" w:hAnsi="Calibri"/>
          <w:b w:val="0"/>
          <w:color w:val="3A4A28"/>
          <w:sz w:val="17"/>
        </w:rPr>
        <w:t>StockAnalysis, GuruFocus, Yahoo Finance — MLCO Key Statistics: Forward P/E 13.66x, D/E -561%, ROE -370%, Profit Margin 3.56%, Market Cap $3.15B, EV $9.55B, Stock Price $5.21,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