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MLTX</w:t>
      </w:r>
      <w:r>
        <w:rPr>
          <w:rFonts w:ascii="Calibri" w:hAnsi="Calibri"/>
          <w:b/>
          <w:color w:val="1A2010"/>
          <w:sz w:val="40"/>
        </w:rPr>
        <w:t xml:space="preserve">  MoonLake Immunotherapeutics</w:t>
      </w:r>
    </w:p>
    <w:p>
      <w:pPr>
        <w:spacing w:after="120"/>
      </w:pPr>
      <w:r>
        <w:rPr>
          <w:rFonts w:ascii="Calibri" w:hAnsi="Calibri"/>
          <w:b/>
          <w:color w:val="6E8450"/>
          <w:sz w:val="18"/>
        </w:rPr>
        <w:t>GROWTH SLEEVE · 2026-09-14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Switzerland</w:t>
      </w:r>
    </w:p>
    <w:p>
      <w:pPr>
        <w:spacing w:after="80"/>
      </w:pPr>
      <w:r>
        <w:rPr>
          <w:rFonts w:ascii="Calibri" w:hAnsi="Calibri"/>
          <w:b w:val="0"/>
          <w:color w:val="3A4A28"/>
          <w:sz w:val="20"/>
        </w:rPr>
        <w:t>MoonLake Immunotherapeutics is a clinical-stage biopharmaceutical company developing sonelokimab, an investigational tri-specific Nanobody targeting IL-17A and IL-17F for inflammatory diseases. The company's lead indication is hidradenitis suppurativa (HS), with Phase 3 VELA trials completed and BLA submission planned for end of September 2026 following a positive FDA pre-BLA meeting. Phase 3 IZAR-1 data in psoriatic arthritis (PsA) met all endpoints. MoonLake has also initiated trials in PPP (FDA Fast Track), psoriasis, and axial spondyloarthritis. Founded in 2021 and headquartered in Zug, Switzerland, the company targets $8B+ peak sales with a potential U.S. launch in H2 2027.</w:t>
      </w:r>
    </w:p>
    <w:p>
      <w:r>
        <w:rPr>
          <w:rFonts w:ascii="Calibri" w:hAnsi="Calibri"/>
          <w:b/>
          <w:color w:val="6E8450"/>
          <w:sz w:val="18"/>
        </w:rPr>
        <w:t>https://moonlaketx.com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MoonLake was founded in 2021 and has not launched any commercial products. The company is a single-asset clinical-stage biotech entirely dependent on sonelokimab. No successful product launches, market pivots, or business model transformations exist in its short history. AI Deployment (0/2): No evidence of AI-powered products or AI-driven efficiency gains; the company uses traditional biologic drug development approaches based on Nanobody engineering. Market Share (1/2): Sonelokimab's tri-specific Nanobody format targeting both IL-17A and IL-17F represents a genuinely differentiated mechanism of action versus existing anti-IL-17 biologics [1]. Phase 3 data showing 67% HiSCR75 in HS and 42.1% ACR50 in PsA support clinical differentiation [2]. Product Pipeline (2/2): BLA submission for adult and adolescent HS planned for end of September 2026, with FDA confirming no additional clinical trials needed [3]. Phase 3 IZAR-1 met all clinical endpoints in PsA (42.1% ACR50, 66.5% ACR20 at Week 16). FDA Fast Track for PPP, plus trials in psoriasis and axSpA. U.S. launch potential H2 2027 if approved [4]. R&amp;D Intensity (1/1): As a clinical-stage company, virtually 100% of spending is directed toward R&amp;D and clinical trials across multiple sonelokimab indications.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MoonLake's purpose centers on unlocking sonelokimab's potential for inflammatory diseases. The company positions its single-asset concentration as a 'deliberate challenge to conventional biotech wisdom,' but this describes a business strategy — not a Just Cause [1]. Interchangeable with any clinical-stage biotech. Community &amp; Charitable Impact (0/2): No evidence of charitable programs or community investment. As a clinical-stage biotech with zero revenue and $537M cash funding operations, community giving is not a priority. Employee Retention (0/2): No publicly available data on employee count, retention, or culture. The company is too small and young for meaningful retention metrics. Insider Buying (0/2): Net insider selling continues: CEO Jorge Santos da Silva sold 150,000 shares worth $2.8M in April 2026, and CFO Matthias Bodenstedt sold shares in July 2026 [6]. While insider selling is common for diversification at clinical-stage biotechs, the pattern across multiple executives signals risk reduction rather than conviction at a pivotal regulatory moment.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MoonLake's infrastructure is severely constrained by pre-revenue status. D/E of 21% is conservative, with $537M cash (up from $358M following capital raises) providing runway to mid-2028 — covering the BLA filing (September 2026), potential PDUFA date (~mid-2027), and initial commercial launch [3][5]. However, ROE is deeply negative (~-60%) reflecting H1 2026 net loss of $131.5M with zero revenue, and profit margin is 0% (pre-commercial). Forward P/E, PEG, and revenue growth metrics are all null for a pre-revenue company. The $537M cash position is the sole balance sheet positive. Liquidity floor cleared at approximately $22M daily traded value (1.24M avg volume x $18.03 stock price).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MoonLake is a quintessential finite game player — a single-asset clinical-stage biotech whose entire existence hinges on FDA approval of sonelokimab. The BLA submission planned for September 2026 represents a binary regulatory outcome: approval enables commercialization; rejection likely means dissolution or fire-sale acquisition. CEO and CFO insider selling during the pre-filing period, combined with STAT News reporting on data transparency concerns, reinforces the finite orientation. The IZAR-1 PsA results and expanded indications show clinical breadth but all are variants of the same molecule.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MoonLake's purpose is to commercialize sonelokimab — a product-specific goal, not a Just Cause. There is no articulated vision of a future state that transcends this single molecule [1]. If sonelokimab fails, the company has no stated reason to exist. The 'deliberate challenge to conventional biotech wisdom' of concentrating on one asset is a business strategy, not a cause that inspires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Santos da Silva has led MoonLake since 2022, navigating through the September 2025 stock crash (80-90% decline) with organizational stability [1]. The positive FDA pre-BLA meeting and IZAR-1 PsA Phase 3 success suggest strong execution capability. However, STAT News reported in August 2026 that MoonLake appears 'scared of releasing data' on sonelokimab, with results characterized as exhibiting 'data obtuseness,' raising transparency concerns beyond the existing securities fraud lawsuit [6]. Insider selling by both CEO and CFO compounds trust questions.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MoonLake's competitive positioning versus existing IL-17 therapies (secukinumab, ixekizumab) focuses on sonelokimab's tri-specific mechanism as a superiority claim rather than learning from competitors' commercial and clinical strengths [2]. The company's narrative is product-superiority oriented — standard clinical-stage positioning, not infinite-game competitive thinking.</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MoonLake is entirely dependent on sonelokimab as its sole asset. The expansion into PsA (IZAR-1 Phase 3 positive), PPP (Fast Track), psoriasis, and axSpA represents indication diversification but not platform diversification — all programs use the same molecule [4]. No backup pipeline, no platform technology generating additional candidates. If the HS BLA fails, the indication expansion programs become meaningless.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Persistence with BLA submission after the Phase 3 stock crash reflects rational business judgment rather than courageous sacrifice — the clinical data supports submission, making continued regulatory pursuit the only sensible path for a single-asset company [2][3]. CEO selling $2.8M in shares and CFO selling shares during the pre-BLA period sends risk-reduction signals rather than demonstrating conviction at the most critical moment in the company's history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MoonLake is a high-risk single-asset biotech approaching its pivotal regulatory inflection. The bull case has strengthened with Phase 3 IZAR-1 positive results in PsA (42.1% ACR50, 66.5% ACR20 at Week 16) and FDA alignment on the HS BLA pathway with no additional trials required [3][4]. Week 52 VELA data showed 67% HiSCR75 response with a third of HS patients achieving complete clearance, and the BLA is imminent (September 2026) [2]. The company raised capital to $537M, extending runway to mid-2028 through potential approval and initial commercial launch. At ~$18 per share and ~$1.3B market cap, the stock prices in significant skepticism, potentially creating asymmetric upside if approved — management targets $8B+ peak sales across HS, PsA, PPP, and other inflammatory indications. FDA Fast Track for PPP and multiple Phase 3 programs expand the commercial opportunity beyond HS.</w:t>
      </w:r>
    </w:p>
    <w:p>
      <w:pPr>
        <w:spacing w:after="120"/>
      </w:pPr>
      <w:r>
        <w:rPr>
          <w:rFonts w:ascii="Calibri" w:hAnsi="Calibri"/>
          <w:b w:val="0"/>
          <w:color w:val="3A4A28"/>
          <w:sz w:val="20"/>
        </w:rPr>
        <w:t>The bear case remains dominant and is fundamentally incompatible with the IOWN framework's emphasis on durable, infinite-game businesses. MoonLake generates zero revenue, reported H1 2026 net loss of $131.5M ($0.98/share in Q1, $0.84/share in Q2), and is entirely dependent on one molecule [5]. The stock crashed 80-90% in September 2025 when Phase 3 results fell short of investor expectations, triggering securities fraud litigation. STAT News reported in August 2026 that MoonLake appears reluctant to release complete clinical data, characterizing the company's data disclosures as exhibiting 'obtuseness' that undermines the word 'positive' — a transparency concern that could complicate FDA review [6]. CEO selling $2.8M in shares in April 2026 and CFO selling in July 2026 signal risk reduction by insiders who have the best visibility into BLA readiness. The $537M cash position covers runway to mid-2028 but was achieved through dilutive capital raises. This is a binary outcome stock: approval in H2 2027 could generate substantial value, but rejection, a CRL, or a long-form review with an advisory committee could be existential.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BLA submission for sonelokimab in HS planned for end of September 2026, with FDA confirming existing VELA and MIRA trial data constitute substantial evidence of effectiveness and no additional trials required [3]</w:t>
      </w:r>
    </w:p>
    <w:p>
      <w:pPr>
        <w:spacing w:before="40" w:after="40"/>
        <w:ind w:left="283"/>
      </w:pPr>
      <w:r>
        <w:rPr>
          <w:rFonts w:ascii="Calibri" w:hAnsi="Calibri"/>
          <w:b/>
          <w:color w:val="4A6B25"/>
          <w:sz w:val="20"/>
        </w:rPr>
        <w:t xml:space="preserve">2. </w:t>
      </w:r>
      <w:r>
        <w:rPr>
          <w:rFonts w:ascii="Calibri" w:hAnsi="Calibri"/>
          <w:b w:val="0"/>
          <w:color w:val="3A4A28"/>
          <w:sz w:val="20"/>
        </w:rPr>
        <w:t>Phase 3 IZAR-1 positive results in PsA (42.1% ACR50, 66.5% ACR20 at Week 16) expanding sonelokimab's validated indication portfolio beyond HS and supporting the $8B+ peak sales narrative [4]</w:t>
      </w:r>
    </w:p>
    <w:p>
      <w:pPr>
        <w:spacing w:before="40" w:after="40"/>
        <w:ind w:left="283"/>
      </w:pPr>
      <w:r>
        <w:rPr>
          <w:rFonts w:ascii="Calibri" w:hAnsi="Calibri"/>
          <w:b/>
          <w:color w:val="4A6B25"/>
          <w:sz w:val="20"/>
        </w:rPr>
        <w:t xml:space="preserve">3. </w:t>
      </w:r>
      <w:r>
        <w:rPr>
          <w:rFonts w:ascii="Calibri" w:hAnsi="Calibri"/>
          <w:b w:val="0"/>
          <w:color w:val="3A4A28"/>
          <w:sz w:val="20"/>
        </w:rPr>
        <w:t>Extended cash runway to mid-2028 ($537M) covering BLA filing, PDUFA date (~mid-2027), and initial commercial launch preparation without near-term dilution risk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Single-asset binary outcome risk: BLA rejection, CRL, or negative FDA advisory committee for sonelokimab would be existential for a company with zero revenue, no backup pipeline, and $131.5M in H1 2026 losses [5]</w:t>
      </w:r>
    </w:p>
    <w:p>
      <w:pPr>
        <w:spacing w:before="40" w:after="40"/>
        <w:ind w:left="283"/>
      </w:pPr>
      <w:r>
        <w:rPr>
          <w:rFonts w:ascii="Calibri" w:hAnsi="Calibri"/>
          <w:b/>
          <w:color w:val="4A6B25"/>
          <w:sz w:val="20"/>
        </w:rPr>
        <w:t xml:space="preserve">2. </w:t>
      </w:r>
      <w:r>
        <w:rPr>
          <w:rFonts w:ascii="Calibri" w:hAnsi="Calibri"/>
          <w:b w:val="0"/>
          <w:color w:val="3A4A28"/>
          <w:sz w:val="20"/>
        </w:rPr>
        <w:t>STAT News data transparency concerns (August 2026) characterizing MoonLake as 'scared of releasing data' with 'data obtuseness,' combined with CEO and CFO insider selling and securities fraud litigation, undermine market confidence at the critical pre-filing moment [6]</w:t>
      </w:r>
    </w:p>
    <w:p>
      <w:pPr>
        <w:spacing w:before="40" w:after="40"/>
        <w:ind w:left="283"/>
      </w:pPr>
      <w:r>
        <w:rPr>
          <w:rFonts w:ascii="Calibri" w:hAnsi="Calibri"/>
          <w:b/>
          <w:color w:val="4A6B25"/>
          <w:sz w:val="20"/>
        </w:rPr>
        <w:t xml:space="preserve">3. </w:t>
      </w:r>
      <w:r>
        <w:rPr>
          <w:rFonts w:ascii="Calibri" w:hAnsi="Calibri"/>
          <w:b w:val="0"/>
          <w:color w:val="3A4A28"/>
          <w:sz w:val="20"/>
        </w:rPr>
        <w:t>Peak sales target of $8B+ requires successful commercialization against established IL-17 therapies (secukinumab, ixekizumab) by a company with no commercial infrastructure, no sales force, and no prior launch experience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MoonLake's core business — developing and potentially commercializing a biologic Nanobody drug for inflammatory diseases — is well-protected from AI disruption. Biologic drug manufacturing, clinical trial execution, and FDA regulatory pathways involve complex physical-world and regulatory processes that AI cannot replace [1]. Injectable biologic therapies require physician prescription, patient monitoring, and supply chain logistics that are inherently physical. However, AI is accelerating drug discovery for competitors (Recursion, Insilico), potentially enabling faster development of next-generation anti-IL-17 or anti-inflammatory therapies that could compete with sonelokimab. AI Opportunity (0/1): MoonLake does not generate AI-related revenue and has not disclosed use of AI tools in its drug development pipeline.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MoonLake Immunotherapeutics Corporate Website — Sonelokimab Tri-Specific Nanobody, Single-Asset Strategy, moonlaketx.com</w:t>
      </w:r>
    </w:p>
    <w:p>
      <w:pPr>
        <w:spacing w:before="20" w:after="20"/>
        <w:ind w:left="170"/>
      </w:pPr>
      <w:r>
        <w:rPr>
          <w:rFonts w:ascii="Calibri" w:hAnsi="Calibri"/>
          <w:b/>
          <w:color w:val="4A6B25"/>
          <w:sz w:val="15"/>
        </w:rPr>
        <w:t xml:space="preserve">2. </w:t>
      </w:r>
      <w:r>
        <w:rPr>
          <w:rFonts w:ascii="Calibri" w:hAnsi="Calibri"/>
          <w:b w:val="0"/>
          <w:color w:val="3A4A28"/>
          <w:sz w:val="17"/>
        </w:rPr>
        <w:t>MoonLake Phase 3 VELA Week 52 Results — 67% HiSCR75 in HS, ~33% Complete Clearance (HiSCR100); IZAR-1 PsA Week 16 — 42.1% ACR50, 66.5% ACR20, 2026</w:t>
      </w:r>
    </w:p>
    <w:p>
      <w:pPr>
        <w:spacing w:before="20" w:after="20"/>
        <w:ind w:left="170"/>
      </w:pPr>
      <w:r>
        <w:rPr>
          <w:rFonts w:ascii="Calibri" w:hAnsi="Calibri"/>
          <w:b/>
          <w:color w:val="4A6B25"/>
          <w:sz w:val="15"/>
        </w:rPr>
        <w:t xml:space="preserve">3. </w:t>
      </w:r>
      <w:r>
        <w:rPr>
          <w:rFonts w:ascii="Calibri" w:hAnsi="Calibri"/>
          <w:b w:val="0"/>
          <w:color w:val="3A4A28"/>
          <w:sz w:val="17"/>
        </w:rPr>
        <w:t>MoonLake FDA Pre-BLA Meeting — Positive Outcome, BLA Submission Planned End September 2026, No Additional Trials Needed, May 2026</w:t>
      </w:r>
    </w:p>
    <w:p>
      <w:pPr>
        <w:spacing w:before="20" w:after="20"/>
        <w:ind w:left="170"/>
      </w:pPr>
      <w:r>
        <w:rPr>
          <w:rFonts w:ascii="Calibri" w:hAnsi="Calibri"/>
          <w:b/>
          <w:color w:val="4A6B25"/>
          <w:sz w:val="15"/>
        </w:rPr>
        <w:t xml:space="preserve">4. </w:t>
      </w:r>
      <w:r>
        <w:rPr>
          <w:rFonts w:ascii="Calibri" w:hAnsi="Calibri"/>
          <w:b w:val="0"/>
          <w:color w:val="3A4A28"/>
          <w:sz w:val="17"/>
        </w:rPr>
        <w:t>MoonLake Indication Expansion — PsA Phase 3 IZAR-1 Positive, PPP Fast Track, Psoriasis and axSpA Trials; $8B+ Peak Sales Target, 2026</w:t>
      </w:r>
    </w:p>
    <w:p>
      <w:pPr>
        <w:spacing w:before="20" w:after="20"/>
        <w:ind w:left="170"/>
      </w:pPr>
      <w:r>
        <w:rPr>
          <w:rFonts w:ascii="Calibri" w:hAnsi="Calibri"/>
          <w:b/>
          <w:color w:val="4A6B25"/>
          <w:sz w:val="15"/>
        </w:rPr>
        <w:t xml:space="preserve">5. </w:t>
      </w:r>
      <w:r>
        <w:rPr>
          <w:rFonts w:ascii="Calibri" w:hAnsi="Calibri"/>
          <w:b w:val="0"/>
          <w:color w:val="3A4A28"/>
          <w:sz w:val="17"/>
        </w:rPr>
        <w:t>MoonLake H1 2026 Financials — Q1 Loss $69.7M ($0.98/share), Q2 Loss $61.8M ($0.84/share), Cash $537M, Runway to Mid-2028, StockTitan SEC Filings</w:t>
      </w:r>
    </w:p>
    <w:p>
      <w:pPr>
        <w:spacing w:before="20" w:after="20"/>
        <w:ind w:left="170"/>
      </w:pPr>
      <w:r>
        <w:rPr>
          <w:rFonts w:ascii="Calibri" w:hAnsi="Calibri"/>
          <w:b/>
          <w:color w:val="4A6B25"/>
          <w:sz w:val="15"/>
        </w:rPr>
        <w:t xml:space="preserve">6. </w:t>
      </w:r>
      <w:r>
        <w:rPr>
          <w:rFonts w:ascii="Calibri" w:hAnsi="Calibri"/>
          <w:b w:val="0"/>
          <w:color w:val="3A4A28"/>
          <w:sz w:val="17"/>
        </w:rPr>
        <w:t>STAT News — 'Why is MoonLake scared of releasing data on its drug candidate?', Data Obtuseness Concerns, August 2026; CEO $2.8M Share Sale April 2026, CFO Selling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