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MMED</w:t>
      </w:r>
      <w:r>
        <w:rPr>
          <w:rFonts w:ascii="Calibri" w:hAnsi="Calibri"/>
          <w:b/>
          <w:color w:val="1A2010"/>
          <w:sz w:val="40"/>
        </w:rPr>
        <w:t xml:space="preserve">  MiniMed Group, Inc.</w:t>
      </w:r>
    </w:p>
    <w:p>
      <w:pPr>
        <w:spacing w:after="120"/>
      </w:pPr>
      <w:r>
        <w:rPr>
          <w:rFonts w:ascii="Calibri" w:hAnsi="Calibri"/>
          <w:b/>
          <w:color w:val="6E8450"/>
          <w:sz w:val="18"/>
        </w:rPr>
        <w:t>GROWTH SLEEVE · 2026-09-14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&amp; Instruments · NASDAQ · United States</w:t>
      </w:r>
    </w:p>
    <w:p>
      <w:pPr>
        <w:spacing w:after="80"/>
      </w:pPr>
      <w:r>
        <w:rPr>
          <w:rFonts w:ascii="Calibri" w:hAnsi="Calibri"/>
          <w:b w:val="0"/>
          <w:color w:val="3A4A28"/>
          <w:sz w:val="20"/>
        </w:rPr>
        <w:t>MiniMed Group, Inc. is a medical technology company spun off from Medtronic in March 2026, focused on developing, manufacturing, and marketing diabetes management solutions including Automated Insulin Delivery (AID) systems, continuous glucose monitors, insulin pumps, and Smart Multiple Daily Injection systems. With over 40 years of innovation in diabetes technology, MiniMed generated $3.1B in fiscal 2026 revenue (+14.2% YoY). CEO Que Thanh Dallara leads the company through its transition to independence, with Medtronic retaining ~90% ownership. The MiniMed Flex pump launched June 2026 with a smaller rechargeable design. Headquartered in Northridge, California.</w:t>
      </w:r>
    </w:p>
    <w:p>
      <w:r>
        <w:rPr>
          <w:rFonts w:ascii="Calibri" w:hAnsi="Calibri"/>
          <w:b/>
          <w:color w:val="6E8450"/>
          <w:sz w:val="18"/>
        </w:rPr>
        <w:t>8,000 Employees · https://www.minimed.com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MiniMed delivered six consecutive quarters of double-digit organic revenue growth through FY2026, driven by the MiniMed 780G automated insulin delivery system and Simplera continuous glucose monitor, growing revenue from $2.7B to $3.1B [1]. However, U.S. Q4 organic growth decelerated to 1.5% as customers delayed purchases ahead of new product launches, indicating the current cycle is maturing [1]. AI Deployment (1/2): MiniMed's AID systems use predictive algorithmic decision-making for glucose sensing and automated insulin dosing adjustments, functionally an ML-driven product shipping to hundreds of thousands of patients [1]. No separately quantified AI revenue figures disclosed. Market Share (1/2): MiniMed is the largest insulin pump manufacturer globally but has faced sustained share losses to Insulet (Omnipod) and Tandem over recent years; the recent turnaround in growth suggests competitive stabilization but not leadership gains [1]. Product Pipeline (2/2): Next-generation CGM sensors and AID algorithms in development with recent FDA approvals for expanded indications and pediatric populations providing clear near-term revenue catalysts [1][2]. R&amp;D Intensity (1/1): R&amp;D spending is above industry average for medical devices, consistent with the company's 40+ year track record of diabetes technology innovation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MiniMed's purpose — 'making better days the norm for people with diabetes' — is specific, thoughtful, and directly tied to the company's products and 40+ year history [2]. Leadership articulates a vision of making diabetes management 'more seamless, more intuitive, and more human,' connecting the company's work to a genuine patient-centered purpose that differentiates from generic medtech mission statements. Community Impact (0/2): No evidence of specific charitable programs, foundation work, or community investment beyond the company's core business of serving diabetes patients. As a newly independent entity, dedicated community programs have not yet been publicly established [2]. Employee Retention (1/2): The 8,000-employee workforce includes many long-tenured diabetes specialists who transferred from Medtronic, bringing institutional knowledge and mission alignment [2]. However, no specific tenure or turnover data is publicly available for the newly independent entity. Insider Buying (0/2): Medtronic retains approximately 90% ownership post-IPO, representing structural parent alignment, but no individual insider buying transactions by CEO or executives were identified in the post-IPO period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FY2026 revenue reached a record $3.102B, up 14.2% reported and 8.0% organic, with adjusted standalone EBITDA of $482M growing 27% year-over-year [1]. However, GAAP net loss was $331M, yielding profit margin of -9.74% and ROE of -8.78%, driven by corporate separation costs and intangible amortization — both score 0 [1][3]. The balance sheet is conservatively structured with D/E of only 1.47% ($53M total debt against $298M cash), scoring full marks on leverage [3]. Revenue growth YoY of 14.2% exceeds the 10% target, scoring 1.0. Forward P/E of ~37.4x (based on analyst consensus FY2027 adjusted EPS of $0.65) scores 0.57. Estimated 5yr revenue CAGR of ~4% reflects pre-turnaround struggles under Medtronic, scoring 0.60. Forward PEG is unavailable due to the recent IPO and transitioning earnings profile. Liquidity: ~1,000,000 avg daily volume x $24.34 = ~$24.3M — well above the $1M floor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MiniMed demonstrates solid infinite game characteristics rooted in a 40+ year mission to improve diabetes care. The spinoff from Medtronic represents meaningful existential flexibility — creating an independent entity dedicated solely to the diabetes cause. The company's willingness to invest through years of market share loss before the recent turnaround shows some courage, though as a newly independent entity with only months of operating history, the leadership team has not yet been tested through its own market cycles. Sinek would note the inherited cause needs to be proven under independent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MiniMed's purpose — making better days the norm for people with diabetes — is genuine, distinctive, and has guided 40+ years of product development through multiple technology generations [2]. The mission connects directly to improving the daily lives of millions and has survived product cycles and competitive challenges. However, this Just Cause has not yet been tested as an independent company; the 40-year track record was under Medtronic's umbrella, and it remains to be seen whether independent MiniMed will maintain this purpose through its own strategic crises and market pressures.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MiniMed's 8,000-employee workforce includes many long-tenured diabetes specialists transferred from Medtronic, bringing institutional knowledge and mission alignment [2]. Early Glassdoor reviews highlight a remote-first work culture described as reflecting 'dedication to work/life balance and an equitable and inclusive culture,' with industry-leading salary and benefits [2]. However, the organizational transition inherent in a spinoff creates uncertainty, and it is too early to evaluate whether the independent entity has built a stable, trust-based culture distinct from its former parent.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MiniMed's competitive positioning explicitly acknowledges rivals' strengths — Dexcom's CGM dominance, Insulet's tubeless pump innovation — and uses competitive pressure as motivation to improve [1]. The company's recent turnaround (six consecutive quarters of double-digit growth) was driven by product improvements inspired by competitive dynamics rather than predatory pricing or acquisition-driven growth. The U.S. market share challenge has pushed MiniMed to innovate rather than merely defend.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Medtronic spinoff represents meaningful structural flexibility — transitioning from a division of a $120B conglomerate to an independent, publicly traded pure-play diabetes company [1]. Additionally, MiniMed's evolution from basic insulin pumps to integrated AID systems combining hardware, software, and predictive algorithms represents a significant business model evolution. However, the spinoff was ultimately a Medtronic corporate decision, and MiniMed is still executing the same core diabetes device business rather than making a truly transformative pivot to a new market.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MiniMed's diabetes division continued investing heavily in R&amp;D through years of competitive market share losses to Dexcom and Insulet before the recent growth turnaround, showing willingness to sacrifice near-term results for long-term product competitiveness [1]. The commitment to advancing AID technology despite uncertain regulatory timelines demonstrates some strategic patience. However, the new independent leadership team has not yet faced a test requiring costly decisions under its own governance.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MiniMed Group delivered record FY2026 revenue of $3.102B, up 14.2% reported (8.0% organic), with adjusted standalone EBITDA of $482M growing 27% year-over-year — demonstrating 2x the rate of reported revenue growth [1]. International revenue (~70% of total) grew at 20.6%, and CGM attachment rates expanded the recurring revenue opportunity within the installed base. The ultra-low D/E of 1.47% ($53M total debt against $298M cash) provides financial flexibility, and FY2027 guidance targeting ~10% organic growth and ~16% EBITDA margin signals a clear path toward profitability. Analyst consensus of 'Strong Buy' with price targets of $24-$26 reflects confidence in standalone margin expansion [3]. The MiniMed Flex pump launch in June 2026 refreshes the product lineup with a smaller, rechargeable form factor that could re-accelerate U.S. growth.</w:t>
      </w:r>
    </w:p>
    <w:p>
      <w:pPr>
        <w:spacing w:after="120"/>
      </w:pPr>
      <w:r>
        <w:rPr>
          <w:rFonts w:ascii="Calibri" w:hAnsi="Calibri"/>
          <w:b w:val="0"/>
          <w:color w:val="3A4A28"/>
          <w:sz w:val="20"/>
        </w:rPr>
        <w:t>The bear case centers on profitability deterioration and domestic market weakness. GAAP net loss expanded 56% to $331M in FY2026, driven by corporate separation costs and amortization, raising questions about the timeline to GAAP breakeven [1]. U.S. Q4 revenue grew only 1.5% organically as customers delayed purchases ahead of new product launches, revealing domestic share pressure from Insulet's Omnipod 5 and Dexcom's standalone CGM ecosystem. As a March 2026 IPO with limited independent operating history, the stock carries execution risk around supply chain independence, IT systems separation, and go-to-market infrastructure establishment. Any delay in new product launches could further erode the domestic competitive position and undermine the turnaround narrative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new product launches expected to re-accelerate U.S. organic growth from the 1.5% Q4 run rate, with customers already delaying purchases in anticipation of the refresh cycle</w:t>
      </w:r>
    </w:p>
    <w:p>
      <w:pPr>
        <w:spacing w:before="40" w:after="40"/>
        <w:ind w:left="283"/>
      </w:pPr>
      <w:r>
        <w:rPr>
          <w:rFonts w:ascii="Calibri" w:hAnsi="Calibri"/>
          <w:b/>
          <w:color w:val="4A6B25"/>
          <w:sz w:val="20"/>
        </w:rPr>
        <w:t xml:space="preserve">2. </w:t>
      </w:r>
      <w:r>
        <w:rPr>
          <w:rFonts w:ascii="Calibri" w:hAnsi="Calibri"/>
          <w:b w:val="0"/>
          <w:color w:val="3A4A28"/>
          <w:sz w:val="20"/>
        </w:rPr>
        <w:t>Adjusted EBITDA margin expansion toward the 16% FY2027 target from the current ~15.5% level, demonstrating operating leverage as standalone corporate costs are rationalized post-spinoff</w:t>
      </w:r>
    </w:p>
    <w:p>
      <w:pPr>
        <w:spacing w:before="40" w:after="40"/>
        <w:ind w:left="283"/>
      </w:pPr>
      <w:r>
        <w:rPr>
          <w:rFonts w:ascii="Calibri" w:hAnsi="Calibri"/>
          <w:b/>
          <w:color w:val="4A6B25"/>
          <w:sz w:val="20"/>
        </w:rPr>
        <w:t xml:space="preserve">3. </w:t>
      </w:r>
      <w:r>
        <w:rPr>
          <w:rFonts w:ascii="Calibri" w:hAnsi="Calibri"/>
          <w:b w:val="0"/>
          <w:color w:val="3A4A28"/>
          <w:sz w:val="20"/>
        </w:rPr>
        <w:t>International market expansion continuing at 11%+ organic growth rates, particularly in markets where CGM attachment rates and AID system penetration are still in early innings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net loss expanded 56% to $331M in FY2026, and the path to GAAP profitability depends on amortization wind-down and separation cost elimination — any operational setback could extend losses further</w:t>
      </w:r>
    </w:p>
    <w:p>
      <w:pPr>
        <w:spacing w:before="40" w:after="40"/>
        <w:ind w:left="283"/>
      </w:pPr>
      <w:r>
        <w:rPr>
          <w:rFonts w:ascii="Calibri" w:hAnsi="Calibri"/>
          <w:b/>
          <w:color w:val="4A6B25"/>
          <w:sz w:val="20"/>
        </w:rPr>
        <w:t xml:space="preserve">2. </w:t>
      </w:r>
      <w:r>
        <w:rPr>
          <w:rFonts w:ascii="Calibri" w:hAnsi="Calibri"/>
          <w:b w:val="0"/>
          <w:color w:val="3A4A28"/>
          <w:sz w:val="20"/>
        </w:rPr>
        <w:t>U.S. organic growth decelerated to 1.5% in Q4 as Insulet (Omnipod 5) and Dexcom offer competitive solutions that bypass the traditional insulin pump market, risking sustained domestic share erosion</w:t>
      </w:r>
    </w:p>
    <w:p>
      <w:pPr>
        <w:spacing w:before="40" w:after="40"/>
        <w:ind w:left="283"/>
      </w:pPr>
      <w:r>
        <w:rPr>
          <w:rFonts w:ascii="Calibri" w:hAnsi="Calibri"/>
          <w:b/>
          <w:color w:val="4A6B25"/>
          <w:sz w:val="20"/>
        </w:rPr>
        <w:t xml:space="preserve">3. </w:t>
      </w:r>
      <w:r>
        <w:rPr>
          <w:rFonts w:ascii="Calibri" w:hAnsi="Calibri"/>
          <w:b w:val="0"/>
          <w:color w:val="3A4A28"/>
          <w:sz w:val="20"/>
        </w:rPr>
        <w:t>Post-spinoff execution risk across supply chain independence, IT systems separation, and commercial infrastructure, compounded by limited institutional ownership history and thin analyst coverage as a four-month-old public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MiniMed's core business involves manufacturing FDA-regulated physical medical devices — insulin pumps, CGM sensors, infusion sets, and AID systems — that require biocompatible materials, precision manufacturing, and clinical validation through multi-year regulatory processes [1][2]. AI structurally cannot replace wearable insulin delivery hardware or glucose sensors that interface directly with the human body. The regulatory moats (FDA PMA approvals, clinical trials, manufacturing compliance) create enormous barriers against digital-only competitors. However, AI-powered decision support tools could theoretically reduce the complexity premium that justifies MiniMed's pricing, and tech companies exploring non-invasive glucose monitoring represent a longer-term disruption vector. AI Opportunity (1/1): MiniMed's AID systems embed predictive algorithms for glucose prediction and automated insulin dosing, generating revenue from AI-embedded products shipping to hundreds of thousands of patients globally [1][2]. The closed-loop AID platform is functionally an ML product with measurable clinical outcomes.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MiniMed Group FY2026 Annual Report and Q4 Earnings Release — Revenue $3.102B (+14.2% YoY), Adjusted EBITDA $482M, Net Loss $331M, MiniMed Flex Launch June 2026, September 2026</w:t>
      </w:r>
    </w:p>
    <w:p>
      <w:pPr>
        <w:spacing w:before="20" w:after="20"/>
        <w:ind w:left="170"/>
      </w:pPr>
      <w:r>
        <w:rPr>
          <w:rFonts w:ascii="Calibri" w:hAnsi="Calibri"/>
          <w:b/>
          <w:color w:val="4A6B25"/>
          <w:sz w:val="15"/>
        </w:rPr>
        <w:t xml:space="preserve">2. </w:t>
      </w:r>
      <w:r>
        <w:rPr>
          <w:rFonts w:ascii="Calibri" w:hAnsi="Calibri"/>
          <w:b w:val="0"/>
          <w:color w:val="3A4A28"/>
          <w:sz w:val="17"/>
        </w:rPr>
        <w:t>MiniMed Group Corporate Website, Medtronic Spinoff Details, CEO Que Thanh Dallara Appointment — MedTech Dive, Kavout, March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Simply Wall St — MMED Key Statistics: D/E 1.47%, ROE -8.78%, Profit Margin -9.74%, Stock Price $24.34, Forward PE ~37.4x,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