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MNKD</w:t>
      </w:r>
      <w:r>
        <w:rPr>
          <w:rFonts w:ascii="Calibri" w:hAnsi="Calibri"/>
          <w:b/>
          <w:color w:val="1A2010"/>
          <w:sz w:val="40"/>
        </w:rPr>
        <w:t xml:space="preserve">  MannKind Corporation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2026-08-26 · Inspire: 46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56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Biotechnology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MannKind Corporation is a biopharmaceutical company built around its Technosphere inhaled drug delivery platform, marketing Afrezza (inhaled insulin) and V-Go, and earning royalties on United Therapeutics' Tyvaso DPI for pulmonary arterial hypertension. The October 2025 acquisition of scPharmaceuticals added Furoscix, an at-home subcutaneous diuretic for heart failure, diversifying MannKind beyond diabetes into cardio-renal care [1]. Q2 2026 total revenue reached $109.4M, up 43% YoY, though rising SG&amp;A tied to the Furoscix launch has widened net losses.</w:t>
      </w:r>
    </w:p>
    <w:p>
      <w:r>
        <w:rPr>
          <w:rFonts w:ascii="Calibri" w:hAnsi="Calibri"/>
          <w:b/>
          <w:color w:val="6E8450"/>
          <w:sz w:val="18"/>
        </w:rPr>
        <w:t>https://mannkindcorp.com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(3/3): MannKind has delivered multiple concrete wins in the last five years — FDA approval of Afrezza's pediatric indication, approval of the Furoscix ReadyFlow autoinjector, and the transformative October 2025 acquisition of scPharmaceuticals that opened an entirely new cardio-renal revenue stream on top of the existing Tyvaso DPI royalty business [1]. AI Deployment (0/2): No evidence was found of AI-powered products or internally reported AI-driven cost savings; this is a traditional pharma manufacturing and commercialization model. Market Share (1/2): Tyvaso DPI is a meaningful and growing royalty stream via partner United Therapeutics (royalties up 9% YoY), but Afrezza remains a niche product in the vastly larger insulin market and Furoscix is an early-stage entrant in the diuretic space — MannKind is a meaningful player rather than a category leader [1]. Product Pipeline (2/2): Positive Phase 1b data for nintedanib DPI (MNKD-201) and a $5M milestone payment from United Therapeutics tied to ralinepag DPI give the pipeline specific, named next steps [1]. R&amp;D Intensity (0/1): No specific R&amp;D-to-revenue figure relative to industry peers was found in research, so this item is scored conservatively at zero despite visible clinical-stage activity.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MannKind's mission centers on advancing inhaled drug delivery (the Technosphere platform) to improve outcomes for patients with endocrine and pulmonary/cardio-renal diseases — a clear, healthcare-specific purpose, but one that reads similarly to many specialty pharma peers rather than a deeply distinctive cause [1]. Community Impact (0/2): No evidence of charitable programs, foundations, or community investment was found. Employee Retention (0/2): Glassdoor reviews are mixed — 86% of reviewers would recommend the company to a friend and describe an approachable, collaborative culture, but other reviews cite a 'blame centric' atmosphere, stressed leadership, and common layoffs, and no hard tenure or turnover data was available to score above baseline [2]. Insider Buying (0/2): No evidence of net insider buying by executives was found in research.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metrics. MannKind clears the liquidity floor easily (avg daily volume of ~5.06M shares × $4.16 = ~$21.1M). Revenue growth YoY of 42.9% (yfinance), consistent with the reported 43% Q2 2026 growth to $109.4M, is well above the 10% target and scores at the cap [1]. Forward P/E of 32.6x is above the 20x target but far from the 60x floor, contributing partial credit. Profit margin of -11.08% is below the 0% floor and scores zero, reflecting the net losses driven by Furoscix launch costs. Debt-to-equity, ROE, 5-year revenue CAGR, and Forward PEG were unavailable from yfinance and are excluded from the weighted calculation rather than penalized.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MannKind is a company mid-transformation: after years defined by the struggling standalone Afrezza launch, it has diversified into a platform business anchored by Tyvaso DPI royalties and, since October 2025, the Furoscix cardio-renal franchise. Sinek would credit the willingness to absorb near-term losses (SG&amp;A up 84% behind the Furoscix launch) to build a more durable multi-product platform, but would note the company has not yet articulated a Just Cause beyond 'diversify and grow,' and mixed Glassdoor commentary on a 'blame centric' culture tempers confidence in organizational trust.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MannKind's Technosphere platform purpose — delivering therapeutics through inhalation to improve patient outcomes across diabetes, pulmonary hypertension, and now heart failure — is genuine and has shaped the scPharmaceuticals acquisition, but it has not been publicly articulated as a resilient, decades-spanning cause and remains closer to a strategic diversification thesis than a Just Cause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Glassdoor shows 86% of reviewers would recommend MannKind to a friend, citing a collaborative, approachable leadership style and flexible work arrangements, but other reviews describe a 'blame centric' atmosphere, stressed leadership, and layoffs as common — a mixed picture that lands at 'adequate' rather than exceptional trust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management commentary was found framing competitors (large insulin makers, other inhaled-therapeutics or heart-failure device companies) as sources of learning or improvement; research did not surface either a finite 'beat the rivals' posture or an explicit infinite-minded competitive philosophy.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(2/2): MannKind fundamentally reinvented its business model by acquiring scPharmaceuticals for Furoscix in October 2025, moving from a company whose fortunes rode almost entirely on Afrezza and Tyvaso DPI royalties into a diversified specialty pharma platform spanning diabetes, pulmonary hypertension, and heart failure [1]. The move was made knowing it would pressure near-term profitability (net loss widened to $19.0M in Q2 2026 on higher SG&amp;A) in service of long-term platform diversification.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Leadership accepted a swing from net income of $0.7M to a $19.0M net loss in Q2 2026 as SG&amp;A rose 84% to support the Furoscix launch and pediatric Afrezza rollout — a clear example of prioritizing long-term commercial capability over near-term earnings [1]. A second, sustained pattern of such bets was not established in research.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MannKind is executing a real diversification story: Q2 2026 revenue of $109.4M (+43% YoY) and H1 2026 revenue of $199.5M reflect the addition of Furoscix ($22.2M in Q2), continued Afrezza sales ($17.0M), and growing Tyvaso DPI royalties (+9%) from partner United Therapeutics, with management guiding to a ~$450M 2026 revenue run rate [1]. The company's Technosphere inhaled-delivery platform is a durable, regulated moat that AI cannot disintermediate, and recent approvals (Afrezza pediatric indication, Furoscix ReadyFlow autoinjector) plus positive Phase 1b data for nintedanib DPI extend the growth runway.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profitability: MannKind swung from net income of $13.2M to a $16.6M net loss in Q1 2026, and from $0.7M net income to a $19.0M net loss in Q2 2026, as SG&amp;A rose 84% to fund the Furoscix commercial launch — profit margin sits at roughly -11%, well below the Infrastructure target [1]. The scPharmaceuticals acquisition adds integration risk and a new competitive set in cardio-renal care where MannKind has no prior commercial track record. With no ROE, D/E, or 5-year revenue CAGR data available and Forward P/E at 32.6x, the stock is priced for the growth diversification thesis to work — any stumble in the Furoscix ramp or a slowdown in Tyvaso DPI royalty growth would remove the primary supports under the current valuation.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Continued Furoscix ramp toward the ~$450M 2026 total revenue run rate guided by management, following its addition via the scPharmaceuticals acquisition in October 2025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Progression of nintedanib DPI (MNKD-201) following positive Phase 1b data, and continued milestone payments from United Therapeutics tied to ralinepag DPI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Path to profitability as Furoscix launch-related SG&amp;A normalizes relative to the growing royalty and product revenue base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Widening net losses ($19.0M in Q2 2026 vs. $0.7M net income a year earlier) driven by an 84% increase in SG&amp;A tied to the Furoscix launch, with no confirmed path back to profitability disclosed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Integration risk from the scPharmaceuticals acquisition as MannKind enters the competitive heart-failure diuretic market with no prior commercial track record in cardio-renal care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Continued dependence on United Therapeutics for Tyvaso DPI royalty revenue concentrates counterparty and partnership risk in a key growth driver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MannKind's business is FDA-regulated drug manufacturing and delivery-device commercialization — physical inhaler and injector products, GMP manufacturing facilities, and clinical trial pathways that AI cannot substitute or disintermediate [1]. No analyst commentary surfaced flagging AI disruption risk to inhaled drug delivery or specialty pharma commercialization; if anything, AI-assisted drug discovery could eventually aid MannKind's pipeline work rather than threaten its existing royalty and product revenue. AI Opportunity (0/1): No quantified AI-related revenue or AI-specific product initiative was found — this is a traditional biopharma commercial model without a disclosed AI revenue contribution.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46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Sales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MannKind Q1 2026 revenue $90.2M (+15% YoY), Q2 2026 revenue $109.4M (+43% YoY), H1 2026 revenue $199.5M, Furoscix/Afrezza/Tyvaso DPI breakdown, $450M 2026 revenue run-rate guidance — Yahoo Finance, Seeking Alpha, StockTitan, accessed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MannKind Corporation Glassdoor employee reviews (86% recommend to a friend, mixed 'blame centric' culture commentary), Comparably executive team ratings — Glassdoor, Comparably, accessed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Yahoo Finance / yfinance — MNKD key statistics: price $4.16, forward P/E 32.63x, profit margin -11.08%, revenue growth YoY 42.9%, avg daily volume 5.06M shares, accessed August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