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MNST</w:t>
      </w:r>
      <w:r>
        <w:rPr>
          <w:rFonts w:ascii="Calibri" w:hAnsi="Calibri"/>
          <w:b/>
          <w:color w:val="1A2010"/>
          <w:sz w:val="40"/>
        </w:rPr>
        <w:t xml:space="preserve">  Monster Beverage Corporation</w:t>
      </w:r>
    </w:p>
    <w:p>
      <w:pPr>
        <w:spacing w:after="120"/>
      </w:pPr>
      <w:r>
        <w:rPr>
          <w:rFonts w:ascii="Calibri" w:hAnsi="Calibri"/>
          <w:b/>
          <w:color w:val="6E8450"/>
          <w:sz w:val="18"/>
        </w:rPr>
        <w:t>GROWTH SLEEVE · 2026-10-16 · Inspire: -1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Beverages - Non-Alcoholic · NASDAQ · United States</w:t>
      </w:r>
    </w:p>
    <w:p>
      <w:pPr>
        <w:spacing w:after="80"/>
      </w:pPr>
      <w:r>
        <w:rPr>
          <w:rFonts w:ascii="Calibri" w:hAnsi="Calibri"/>
          <w:b w:val="0"/>
          <w:color w:val="3A4A28"/>
          <w:sz w:val="20"/>
        </w:rPr>
        <w:t>Monster Beverage Corporation develops, markets, sells, and distributes energy drink beverages under the Monster Energy, Reign, NOS, Full Throttle, and Bang brands, and has diversified into alcoholic beverages (hard seltzers, canned cocktails, craft beer) through its 2022 CANarchy acquisition. The company distributes primarily through The Coca-Cola Company's global bottling and distribution network. Q1 2026 delivered record net sales of $2.35B (+26.9% YoY), followed by Q2 2026 net sales of $2.54B (+20.2% YoY) with double-digit growth in every region. International sales now comprise ~46% of total revenue. Management plans selective US price increases in Q4 2026 and new product launches in fall 2026 and 2027.</w:t>
      </w:r>
    </w:p>
    <w:p>
      <w:r>
        <w:rPr>
          <w:rFonts w:ascii="Calibri" w:hAnsi="Calibri"/>
          <w:b/>
          <w:color w:val="6E8450"/>
          <w:sz w:val="18"/>
        </w:rPr>
        <w:t>6,500 Employees · https://www.monsterbevcorp.com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Monster's core energy drink business continues to grow above-category, and the 2022 CANarchy acquisition opened a genuine new revenue stream in alcoholic beverages (The Beast Unleashed, Nasty Beast hard tea) — a significant extension but not a transformative pivot of the core business [1]. International expansion has accelerated meaningfully, with international sales now 46% of revenue, up from 41% a year ago. AI Deployment (0/2): No evidence found of AI-powered products or internally reported AI-driven cost savings. Market Share (2/2): CEO confirmed Monster gained share in many global markets including the US in Q2 2026, with revenue growth of 20.2% YoY significantly outpacing the US energy drink category's 10.7% growth — specific, quantified share gains [1][2]. Product Pipeline (1/2): Continuous new flavor and SKU launches plus expanding alcohol brand portfolio are evident, with new launches planned for fall 2026 and 2027 and selective US price increases in Q4 2026, but no next-generation platform product with quantified revenue visibility was identified [2]. R&amp;D Intensity (0/1): No evidence found that Monster's R&amp;D spend exceeds beverage industry norms.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Monster's brand positioning centers on an 'Unleash the Beast' extreme-sports and music-festival lifestyle identity rather than an articulated purpose beyond selling energy drinks — generic and interchangeable with peer energy drink brands [1]. Community Impact (0/2): No evidence found of significant charitable giving, foundation activity, or community investment programs distinct from standard corporate marketing sponsorships. Employee Retention (0/2): No publicly available tenure or voluntary turnover data was found. Key departures — co-CEO Rodney Sacks stepped down in June 2025, and Rob Gehring (CEO Americas) departing November 2026 for Coca-Cola — suggest some leadership flux [3]. Insider Buying (0/2): No evidence of net insider buying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(PEG unavailable from yfinance, excluded). Monster carries essentially no debt (D/E ~1.0%, score 1.0, 1x weight), strong ROE of 25.7% (score 1.0, 2x weight), and profit margin of 23.1% exceeding the 20% target (score 1.0, 1x weight) [4]. Revenue growth YoY of 20.2% clears the 10% target (score 1.0, 1x weight), while 5-year revenue CAGR of ~8.4% falls short of the 10% target (score 0.89, 2x weight). The primary drag is valuation: Forward P/E of 34.63 scores 0.63 against the 20 target (1x weight). Liquidity: 10.4M shares/day at $45.34 = $472M daily dollar volume. Weighted sum 7.42 / max 8.0 = 9.28, rounded to 9. Note: Forward PE improved materially from 38.85 in August as the stock pulled back from $47.79 to $45.34.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Monster is a well-run, highly profitable beverage company, but the evidence available does not support a Sinek-style Just Cause — its brand identity is built on lifestyle marketing (extreme sports, music, gaming culture) rather than an articulated purpose that transcends selling energy drinks. The CANarchy acquisition and international expansion show willingness to diversify, and the orderly co-CEO-to-sole-CEO transition suggests organizational stability, but recent key executive departures (CEO Americas leaving for Coca-Cola in November 2026) introduce succession concerns. Nothing found rises to the level of a resilient, decades-validated cause tested through crisis.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Monster's public identity is built around an aggressive lifestyle brand ('Unleash the Beast') tied to extreme sports and music sponsorships — this is marketing positioning, not a service-oriented vision of a better future, and no evidence was found of leadership referencing a cause beyond category growth and shareholder returns in strategic decision-making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transition from Rodney Sacks and Hilton Schlosberg's 30+ year co-CEO partnership to Schlosberg as sole CEO in June 2025 was handled in an orderly manner with Sacks remaining as Chairman. However, the departure of Rob Gehring (CEO Americas) to Coca-Cola in November 2026 introduces leadership uncertainty in the company's largest market [3]. No specific data on retention, tenure, or psychological safety practices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Monster's leadership framing competition with Red Bull, Celsius, or PepsiCo's Rockstar as a source of self-improvement; competitive commentary centers on category growth and share statistics rather than an explicit worthy-rival mindset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CANarchy acquisition and subsequent alcoholic beverage launches (The Beast Unleashed, Nasty Beast hard tea) represent Monster entering an adjacent new category, but the core energy drink business remains unchanged and dominant — this is incremental diversification, not a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2022 CANarchy acquisition to enter alcoholic beverages represented a real strategic bet outside Monster's core competency, carrying execution and reputational risk for a company built on non-alcoholic energy drinks. Continued heavy investment in international infrastructure (now 46% of sales) and planned selective price increases in Q4 2026 reflect longer-horizon capital allocation choices, though no evidence was found of leadership sacrificing near-term earnings for a principled stance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Monster Beverage at $45.34 with an $88.8B market cap is executing a genuine growth acceleration — Q1 2026 delivered record net sales of $2.35B (+26.9% YoY), Q2 followed with $2.54B (+20.2% YoY) beating consensus, and international sales now represent 46% of revenue (up from 41% a year ago) with double-digit growth in every global region [1][2]. Profitability is excellent (25.7% ROE, 23.1% profit margin) on an essentially debt-free balance sheet (D/E ~1%), and the Coca-Cola distribution partnership provides a structural moat that is effectively immune to AI disruption. Forward P/E has compressed to 34.6x from 38.9x in August, and selective US price increases planned for Q4 2026 should support continued margin expansion.</w:t>
      </w:r>
    </w:p>
    <w:p>
      <w:pPr>
        <w:spacing w:after="120"/>
      </w:pPr>
      <w:r>
        <w:rPr>
          <w:rFonts w:ascii="Calibri" w:hAnsi="Calibri"/>
          <w:b w:val="0"/>
          <w:color w:val="3A4A28"/>
          <w:sz w:val="20"/>
        </w:rPr>
        <w:t>The bear case centers on valuation, leadership transition, and limited innovation evidence. Forward P/E of 34.6x still prices in sustained high-teens growth that the 5-year revenue CAGR of only 8.4% does not fully support, leaving the stock vulnerable to multiple compression on any deceleration [4]. Key executive departures — co-CEO Sacks stepping down in June 2025 and CEO Americas Rob Gehring departing November 2026 for Coca-Cola — create succession risk in critical leadership roles during a high-growth phase [3]. Historical health scrutiny (2012-2013 FDA investigation into deaths linked to energy drinks, marketing-to-minors lawsuits from San Francisco) remains a sector-level regulatory overhang that could resurface in international markets with different regulatory standards [5]. Innovation evidence is thin outside market share gains — no AI deployment, no named next-generation product pipeline with dates, and no above-industry R&amp;D intensity was found.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International expansion accelerating with double-digit growth in every global region and international sales reaching 46% of revenue with substantial remaining whitespace in underpenetrated markets like APAC (+16.7%) and LATAM (+15.6%) [1][2]</w:t>
      </w:r>
    </w:p>
    <w:p>
      <w:pPr>
        <w:spacing w:before="40" w:after="40"/>
        <w:ind w:left="283"/>
      </w:pPr>
      <w:r>
        <w:rPr>
          <w:rFonts w:ascii="Calibri" w:hAnsi="Calibri"/>
          <w:b/>
          <w:color w:val="4A6B25"/>
          <w:sz w:val="20"/>
        </w:rPr>
        <w:t xml:space="preserve">2. </w:t>
      </w:r>
      <w:r>
        <w:rPr>
          <w:rFonts w:ascii="Calibri" w:hAnsi="Calibri"/>
          <w:b w:val="0"/>
          <w:color w:val="3A4A28"/>
          <w:sz w:val="20"/>
        </w:rPr>
        <w:t>Selective US price increases planned for Q4 2026 should support margin expansion on top of already-strong 23.1% profit margin, flowing through Monster's asset-light manufacturing model [2]</w:t>
      </w:r>
    </w:p>
    <w:p>
      <w:pPr>
        <w:spacing w:before="40" w:after="40"/>
        <w:ind w:left="283"/>
      </w:pPr>
      <w:r>
        <w:rPr>
          <w:rFonts w:ascii="Calibri" w:hAnsi="Calibri"/>
          <w:b/>
          <w:color w:val="4A6B25"/>
          <w:sz w:val="20"/>
        </w:rPr>
        <w:t xml:space="preserve">3. </w:t>
      </w:r>
      <w:r>
        <w:rPr>
          <w:rFonts w:ascii="Calibri" w:hAnsi="Calibri"/>
          <w:b w:val="0"/>
          <w:color w:val="3A4A28"/>
          <w:sz w:val="20"/>
        </w:rPr>
        <w:t>New product launches planned for fall 2026 and 2027 plus continued gains in US energy drink market share, where the category is still expanding household penetration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valuation of 34.6x earnings prices in sustained 15-20% growth that the 5-year revenue CAGR of 8.4% does not fully support — multiple compression risk is significant if international expansion decelerates or US category growth matures [4]</w:t>
      </w:r>
    </w:p>
    <w:p>
      <w:pPr>
        <w:spacing w:before="40" w:after="40"/>
        <w:ind w:left="283"/>
      </w:pPr>
      <w:r>
        <w:rPr>
          <w:rFonts w:ascii="Calibri" w:hAnsi="Calibri"/>
          <w:b/>
          <w:color w:val="4A6B25"/>
          <w:sz w:val="20"/>
        </w:rPr>
        <w:t xml:space="preserve">2. </w:t>
      </w:r>
      <w:r>
        <w:rPr>
          <w:rFonts w:ascii="Calibri" w:hAnsi="Calibri"/>
          <w:b w:val="0"/>
          <w:color w:val="3A4A28"/>
          <w:sz w:val="20"/>
        </w:rPr>
        <w:t>Key executive succession risk: CEO Americas Rob Gehring departing November 2026 for Coca-Cola creates leadership uncertainty in Monster's largest market, following co-CEO Sacks's June 2025 retirement [3]</w:t>
      </w:r>
    </w:p>
    <w:p>
      <w:pPr>
        <w:spacing w:before="40" w:after="40"/>
        <w:ind w:left="283"/>
      </w:pPr>
      <w:r>
        <w:rPr>
          <w:rFonts w:ascii="Calibri" w:hAnsi="Calibri"/>
          <w:b/>
          <w:color w:val="4A6B25"/>
          <w:sz w:val="20"/>
        </w:rPr>
        <w:t xml:space="preserve">3. </w:t>
      </w:r>
      <w:r>
        <w:rPr>
          <w:rFonts w:ascii="Calibri" w:hAnsi="Calibri"/>
          <w:b w:val="0"/>
          <w:color w:val="3A4A28"/>
          <w:sz w:val="20"/>
        </w:rPr>
        <w:t>Regulatory and health scrutiny of energy drinks (caffeine content, marketing to youth) remains an ongoing sector overhead, with potential for tighter regulation in international markets that now represent 46% of revenue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Monster's business is physical beverage manufacturing, brand-building, and distribution through Coca-Cola's global bottling network — none of which AI can substitute or disintermediate [1]. Consumer packaged goods with entrenched shelf placement, retailer relationships, and brand loyalty built through decades of sponsorship marketing are structurally immune to AI disruption. One analyst assessment scored Monster's AI-driven margin pressure at just 3/10, noting the core product is hard to substitute, though smaller brands could use AI-powered marketing to win niche audiences [3]. AI Opportunity (0/1): No evidence found of quantifiable AI-related revenue or AI-driven product features.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Alcohol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Monster Beverage Q2 2026 Results — Net Sales $2.54B (+20.2% YoY), EPS $0.59 (+19%), Double-Digit Growth in Every Region — Nasdaq, Quartr, Barchart, Food Business MEA, July 2026</w:t>
      </w:r>
    </w:p>
    <w:p>
      <w:pPr>
        <w:spacing w:before="20" w:after="20"/>
        <w:ind w:left="170"/>
      </w:pPr>
      <w:r>
        <w:rPr>
          <w:rFonts w:ascii="Calibri" w:hAnsi="Calibri"/>
          <w:b/>
          <w:color w:val="4A6B25"/>
          <w:sz w:val="15"/>
        </w:rPr>
        <w:t xml:space="preserve">2. </w:t>
      </w:r>
      <w:r>
        <w:rPr>
          <w:rFonts w:ascii="Calibri" w:hAnsi="Calibri"/>
          <w:b w:val="0"/>
          <w:color w:val="3A4A28"/>
          <w:sz w:val="17"/>
        </w:rPr>
        <w:t>Monster Beverage Q1 2026 Results and Outlook — Record Net Sales $2.35B (+26.9% YoY), US Category +10.7%, Price Increases Q4 2026, New Launches Fall 2026-2027 — AllInvestView, 2026</w:t>
      </w:r>
    </w:p>
    <w:p>
      <w:pPr>
        <w:spacing w:before="20" w:after="20"/>
        <w:ind w:left="170"/>
      </w:pPr>
      <w:r>
        <w:rPr>
          <w:rFonts w:ascii="Calibri" w:hAnsi="Calibri"/>
          <w:b/>
          <w:color w:val="4A6B25"/>
          <w:sz w:val="15"/>
        </w:rPr>
        <w:t xml:space="preserve">3. </w:t>
      </w:r>
      <w:r>
        <w:rPr>
          <w:rFonts w:ascii="Calibri" w:hAnsi="Calibri"/>
          <w:b w:val="0"/>
          <w:color w:val="3A4A28"/>
          <w:sz w:val="17"/>
        </w:rPr>
        <w:t>Monster Beverage Leadership Changes — Sacks Retirement June 2025, Rob Gehring (CEO Americas) Departing Nov 2026 for Coca-Cola, Emelie Tirre Interim — SimplyWallSt, Goldesel, PitchGrade, 2025-2026</w:t>
      </w:r>
    </w:p>
    <w:p>
      <w:pPr>
        <w:spacing w:before="20" w:after="20"/>
        <w:ind w:left="170"/>
      </w:pPr>
      <w:r>
        <w:rPr>
          <w:rFonts w:ascii="Calibri" w:hAnsi="Calibri"/>
          <w:b/>
          <w:color w:val="4A6B25"/>
          <w:sz w:val="15"/>
        </w:rPr>
        <w:t xml:space="preserve">4. </w:t>
      </w:r>
      <w:r>
        <w:rPr>
          <w:rFonts w:ascii="Calibri" w:hAnsi="Calibri"/>
          <w:b w:val="0"/>
          <w:color w:val="3A4A28"/>
          <w:sz w:val="17"/>
        </w:rPr>
        <w:t>MNST Financial Data — P/E 41.98, Forward P/E 34.63, D/E 0.99%, ROE 25.70%, Profit Margin 23.08%, Avg Volume 10.4M, Price $45.34, Market Cap $88.8B — Yahoo Finance,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Monster Beverage Health Controversies — FDA Death Investigations 2012-2013, San Francisco Marketing-to-Minors Lawsuit, Caffeine Content Scrutiny — FoxBusiness, NBC News, BevNet, 2012-2013</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