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MOS</w:t>
      </w:r>
      <w:r>
        <w:rPr>
          <w:rFonts w:ascii="Calibri" w:hAnsi="Calibri"/>
          <w:b/>
          <w:color w:val="1A2010"/>
          <w:sz w:val="40"/>
        </w:rPr>
        <w:t xml:space="preserve">  The Mosaic Company</w:t>
      </w:r>
    </w:p>
    <w:p>
      <w:pPr>
        <w:spacing w:after="120"/>
      </w:pPr>
      <w:r>
        <w:rPr>
          <w:rFonts w:ascii="Calibri" w:hAnsi="Calibri"/>
          <w:b/>
          <w:color w:val="6E8450"/>
          <w:sz w:val="18"/>
        </w:rPr>
        <w:t>DIVIDEND SLEEVE · 2026-10-10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Agricultural Inputs · NMS · United States</w:t>
      </w:r>
    </w:p>
    <w:p>
      <w:pPr>
        <w:spacing w:after="80"/>
      </w:pPr>
      <w:r>
        <w:rPr>
          <w:rFonts w:ascii="Calibri" w:hAnsi="Calibri"/>
          <w:b w:val="0"/>
          <w:color w:val="3A4A28"/>
          <w:sz w:val="20"/>
        </w:rPr>
        <w:t>The Mosaic Company produces and markets concentrated phosphate and potash crop nutrients through three segments: Phosphates, Potash, and Mosaic Fertilizantes. The company operates mines and processing facilities in the U.S., Brazil, and Canada, generating TTM revenue of approximately $12.2B. Q2 2026 reported a $273M net loss driven by elevated sulfur costs and lower volumes, though potash operations remained profitable. Trading at 0.52x book value ($36.06) reflects deep cyclical trough pricing. Founded 2004, headquartered in Tampa, Florida.</w:t>
      </w:r>
    </w:p>
    <w:p>
      <w:r>
        <w:rPr>
          <w:rFonts w:ascii="Calibri" w:hAnsi="Calibri"/>
          <w:b/>
          <w:color w:val="6E8450"/>
          <w:sz w:val="18"/>
        </w:rPr>
        <w:t>13,000 Employees · https://www.mosaicco.com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Mosaic Biosciences doubled net sales to $68M in 2025 with 40%+ gross margins and launched five new products across 16 countries, targeting $130M+ revenue in 2026 with 8-10 new microbial product launches [1][2]. The Rainbow Rare Earths partnership to extract rare earth elements from phosphogypsum at Uberaba, Brazil represents novel diversification into critical minerals. However, the core fertilizer business remains a cyclical commodity operation vulnerable to input cost shocks, as Q2 2026's $273M net loss demonstrated [1]. AI Deployment (0/2): No evidence of AI-powered products or quantified AI-driven cost savings. CEO Bodine discusses AI-driven precision agriculture as a future direction for the industry broadly, but Mosaic has not deployed commercially meaningful AI capabilities [2]. Market Share (1/2): Major global phosphate and potash producer with low-cost potash at $75/ton at Esterhazy and record phosphate rock production at Miski Mayo in Peru, but Q2 2026 showed competitive vulnerability with phosphate production curtailments and a $104M operating loss in the phosphate segment [1]. Product Pipeline (1/2): Biosciences targeting 8-10 new microbial technology product launches in 2026 and rare earth extraction partnership provides long-term diversification, but core fertilizer lacks next-generation visibility [2]. R&amp;D Intensity (1/1): Biosciences investment and rare earth extraction initiative demonstrate above-average R&amp;D commitment for the fertilizer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Mosaic's purpose of 'helping the world grow the food it needs' is clear and connects to a fundamental human need — food security for a growing global population — but is not distinctive enough to differentiate from any other fertilizer producer [2]. Community Impact (1/2): Mosaic operates the Mosaic Company Foundation focused on agricultural education and community development in Tampa, Saskatchewan, and Brazil, with refreshed 2030 sustainability targets around People, Earth, and Innovation including soil health across 100+ million acres [3]. The ~$2B EPA settlement for legacy environmental issues at Florida operations represents both accountability and ongoing remediation commitment. Employee Retention (1/2): CEO Bruce Bodine, promoted internally in January 2024, brings 30+ years of global mining and fertilizer operating experience, providing leadership continuity. The 13,000-employee workforce operates stable mining operations across three continents, though Brazilian operations remain partially idled [2]. Insider Buying (1/2): Notable insider purchases in 2025-2026 include Director Kuzenko ($210K), Director Westbrook ($108K), and Director Beebe ($175K), demonstrating meaningful board-level conviction at cyclical trough valuations when stock traded below $25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52.2% scores 1.0 (well below 70% target) [4]. ROE of -5.1% scores 0.0 (below 0% floor) following Q2 2026's $273M net loss and trailing EPS of -$2.01 [1][4]. Revenue growth YoY of -6.0% scores 0.47 (target 10%, floor -20%) [1]. Revenue growth 5yr CAGR of approximately 0% scores 0.33 (flat over 5 years as 2022 commodity spike normalized). Forward P/E of 11.9 scores 1.0 (target 20, floor 60) reflecting deep trough valuation [4]. Profit margin of -5.2% scores 0.0 (below 0% floor) [4]. Payout ratio is unsustainable with negative trailing earnings, scoring 0.0 [4]. Consecutive years paid of 20 scores 1.0 at 2x weight. Consecutive years growth of 4 scores 0.4 at 1x weight (annual increases 2022-2025, flat in 2026). 5yr dividend growth CAGR of 17.8% scores 1.0 at 2x weight [4]. Weighted sum: 1.0+0+0.47+0.33+1.0+0+0+2.0+0.4+2.0 = 7.2. Max 12. Score: 7.2/12 x 10 = 6.0, rounds to 6. Daily dollar volume of ~$152M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Mosaic's role in global food security provides an enduring purpose, but the highly cyclical commodity business model forces short-term decisions — Q2 2026's $273M net loss, phosphate production curtailments, and idled Brazilian operations demonstrate how finite-game pressures dominate. CEO Bodine's focus on operational 'fortification' prioritizes cost discipline and efficiency over visionary transformation. The company is built to survive commodity cycles rather than transcend them, with strategy shaped by sulfur prices and potash markets rather than a transcendent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Feeding the world through crop nutrient production addresses a fundamental human need, but Mosaic articulates this as a business purpose rather than a transformative Just Cause [2]. The mission is real — crops physically need phosphorus and potassium — but it doesn't describe a future state that does not yet exist. The purpose is indistinguishable from any fertilizer producer, and Sinek would say this is a clear mission, not a Just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Mosaic's ~13,000 employees operate stable mining operations with leadership continuity under CEO Bruce Bodine, who was promoted internally with 30+ years of experience [2]. Potash production at Esterhazy reached its highest level since 2019 and Miski Mayo achieved record phosphate rock output, demonstrating operational competence and workforce stability. However, idling Araxa and Fospar operations in Brazil and phosphate production curtailments at Bartow and Louisiana create workforce uncertainty during cyclical downturns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Mosaic competes in commodity markets where competition is primarily price-based. The company's competitive language focuses on cost position ('$75/ton potash costs') and production records rather than learning from rivals like Nutrien, ICL, or K+S [1]. No evidence of management referencing competitors' strengths as motivation to improve; instead, the focus is on market share and cost leadership — finite-game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Mosaic Biosciences' expansion into microbial crop nutrition ($68M in 2025, targeting $130M+ in 2026 with 8-10 new product launches) and the Rainbow Rare Earths partnership for rare earth extraction represent meaningful diversification beyond commodity fertilizers [2]. The company also reshaped its geographic portfolio through the Vale Fertilizantes acquisition (2018) and subsequent rationalization. However, the core business model of mining and processing fertilizer has not fundamentally changed in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curtailed phosphate production at Bartow and Louisiana plants rather than producing at a loss when sulfur costs surged, demonstrating disciplined capital allocation even as it resulted in a $273M Q2 2026 net loss and stock price decline [1]. Maintaining the quarterly dividend of $0.22 through deep cyclical trough conditions shows commitment to long-term shareholders. However, these decisions are operationally rational rather than courageous — there are no examples of sacrificing near-term earnings for transformative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Mosaic at $18.74 (0.52x book value of $36.06, 11.9x forward earnings) with a 4.7% dividend yield represents a deep cyclical value play at trough-level profitability, with forward estimates reflecting analyst consensus for earnings recovery as sulfur costs normalize [1][4]. The company's low-cost potash production ($75/ton at Esterhazy), record Miski Mayo phosphate rock output, and cumulative cost savings provide substantial operating leverage when commodity prices recover. Biosciences is targeting $130M+ in 2026 with 40%+ margins, providing high-margin diversification from commodity fertilizers [2]. Multiple board members purchased shares at higher prices — Kuzenko ($210K), Westbrook ($108K), Beebe ($175K) — signaling insider conviction [3]. D/E of 52% provides balance sheet flexibility for a commodity producer, and the stock trades at a 48% discount to book value.</w:t>
      </w:r>
    </w:p>
    <w:p>
      <w:pPr>
        <w:spacing w:after="120"/>
      </w:pPr>
      <w:r>
        <w:rPr>
          <w:rFonts w:ascii="Calibri" w:hAnsi="Calibri"/>
          <w:b w:val="0"/>
          <w:color w:val="3A4A28"/>
          <w:sz w:val="20"/>
        </w:rPr>
        <w:t>The bear case reflects severe cyclical stress with deteriorating fundamentals. Trailing EPS of -$2.01 and profit margin of -5.2% confirm the company is losing money, with the Q2 2026 $273M net loss driven by soaring sulfur and ammonia costs from geopolitical disruptions [1]. ROE has fallen to -5.1%, and the dividend is mathematically unsustainable on current earnings — the $0.88 annual payout exceeds trailing income by a wide margin. Revenue growth of -6.0% YoY reflects declining volumes alongside input cost inflation, and the 5-year revenue CAGR of approximately 0% shows no structural growth after the 2022 commodity spike normalized [4]. Brazilian Fertilizantes operations remain partially idled at Araxa and Fospar with no restart timeline, while DOJ investigation into 'collusive' fertilizer industry pricing practices creates additional regulatory uncertainty [3]. If sulfur costs persist or fertilizer prices decline further, a dividend cut becomes probable, which would eliminate the primary attraction for income-oriented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Sulfur and ammonia cost normalization from geopolitical disruption levels, potentially restoring phosphate segment profitability from the $104M operating loss and validating the forward P/E of 11.9x earnings recovery thesis [1]</w:t>
      </w:r>
    </w:p>
    <w:p>
      <w:pPr>
        <w:spacing w:before="40" w:after="40"/>
        <w:ind w:left="283"/>
      </w:pPr>
      <w:r>
        <w:rPr>
          <w:rFonts w:ascii="Calibri" w:hAnsi="Calibri"/>
          <w:b/>
          <w:color w:val="4A6B25"/>
          <w:sz w:val="20"/>
        </w:rPr>
        <w:t xml:space="preserve">2. </w:t>
      </w:r>
      <w:r>
        <w:rPr>
          <w:rFonts w:ascii="Calibri" w:hAnsi="Calibri"/>
          <w:b w:val="0"/>
          <w:color w:val="3A4A28"/>
          <w:sz w:val="20"/>
        </w:rPr>
        <w:t>Mosaic Biosciences targeting $130M+ revenue in 2026 (doubling from $68M in 2025) with 8-10 new microbial technology product launches providing high-margin diversification from commodity cycles [2]</w:t>
      </w:r>
    </w:p>
    <w:p>
      <w:pPr>
        <w:spacing w:before="40" w:after="40"/>
        <w:ind w:left="283"/>
      </w:pPr>
      <w:r>
        <w:rPr>
          <w:rFonts w:ascii="Calibri" w:hAnsi="Calibri"/>
          <w:b/>
          <w:color w:val="4A6B25"/>
          <w:sz w:val="20"/>
        </w:rPr>
        <w:t xml:space="preserve">3. </w:t>
      </w:r>
      <w:r>
        <w:rPr>
          <w:rFonts w:ascii="Calibri" w:hAnsi="Calibri"/>
          <w:b w:val="0"/>
          <w:color w:val="3A4A28"/>
          <w:sz w:val="20"/>
        </w:rPr>
        <w:t>Deep value setup at 0.52x book value and 11.9x forward earnings with stock down ~19% from recent levels, offering substantial upside if fertilizer pricing recovers to mid-cycle levels and trailing earnings normalize toward the $1.57 forward estimate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in question — trailing EPS of -$2.01 and -5.2% profit margin make the $0.88 annual payout unsustainable at current profitability, with a forced dividend cut likely destroying the income thesis [1][4]</w:t>
      </w:r>
    </w:p>
    <w:p>
      <w:pPr>
        <w:spacing w:before="40" w:after="40"/>
        <w:ind w:left="283"/>
      </w:pPr>
      <w:r>
        <w:rPr>
          <w:rFonts w:ascii="Calibri" w:hAnsi="Calibri"/>
          <w:b/>
          <w:color w:val="4A6B25"/>
          <w:sz w:val="20"/>
        </w:rPr>
        <w:t xml:space="preserve">2. </w:t>
      </w:r>
      <w:r>
        <w:rPr>
          <w:rFonts w:ascii="Calibri" w:hAnsi="Calibri"/>
          <w:b w:val="0"/>
          <w:color w:val="3A4A28"/>
          <w:sz w:val="20"/>
        </w:rPr>
        <w:t>Brazilian Fertilizantes operations remain partially idled at Araxa and Fospar with no restart timeline, while DOJ investigation into fertilizer industry pricing practices creates regulatory risk and potential for government-mandated pricing constraints [3]</w:t>
      </w:r>
    </w:p>
    <w:p>
      <w:pPr>
        <w:spacing w:before="40" w:after="40"/>
        <w:ind w:left="283"/>
      </w:pPr>
      <w:r>
        <w:rPr>
          <w:rFonts w:ascii="Calibri" w:hAnsi="Calibri"/>
          <w:b/>
          <w:color w:val="4A6B25"/>
          <w:sz w:val="20"/>
        </w:rPr>
        <w:t xml:space="preserve">3. </w:t>
      </w:r>
      <w:r>
        <w:rPr>
          <w:rFonts w:ascii="Calibri" w:hAnsi="Calibri"/>
          <w:b w:val="0"/>
          <w:color w:val="3A4A28"/>
          <w:sz w:val="20"/>
        </w:rPr>
        <w:t>Persistent geopolitical disruption to sulfur and ammonia supply chains could sustain elevated input costs that compressed Q2 phosphate margins below variable costs, extending production curtailments and deepening losses beyond analyst recovery expectations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Mosaic's core business — mining phosphate and potash from underground deposits, processing them into fertilizer, and shipping physical product to agricultural markets — is structurally immune to AI disruption [1]. The operations require massive physical infrastructure (mines, chemical processing plants, port terminals, railways) that AI cannot substitute. Fertilizer demand is driven by biological necessity — crops require phosphorus and potassium regardless of technological advancement, and the global population continues growing toward 9 billion by 2050. No analysts have flagged AI as a disruption risk; AI-driven precision agriculture may improve application efficiency but does not reduce aggregate nutrient demand. The AI data center buildout indirectly supports rare earth element demand, providing potential tailwind to Mosaic's extraction partnership [2]. AI Opportunity (0/1): Mosaic does not generate revenue from AI-related products. The company has not deployed commercially meaningful AI capabilities beyond exploratory use in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Mosaic Q2 2026 Earnings — Revenue $2,824M (-6% YoY), Net Loss $273M, Adjusted EPS $0.13, Phosphate Operating Loss $104M, Potash EBITDA $278M, Sulfur Cost Headwinds, August 2026</w:t>
      </w:r>
    </w:p>
    <w:p>
      <w:pPr>
        <w:spacing w:before="20" w:after="20"/>
        <w:ind w:left="170"/>
      </w:pPr>
      <w:r>
        <w:rPr>
          <w:rFonts w:ascii="Calibri" w:hAnsi="Calibri"/>
          <w:b/>
          <w:color w:val="4A6B25"/>
          <w:sz w:val="15"/>
        </w:rPr>
        <w:t xml:space="preserve">2. </w:t>
      </w:r>
      <w:r>
        <w:rPr>
          <w:rFonts w:ascii="Calibri" w:hAnsi="Calibri"/>
          <w:b w:val="0"/>
          <w:color w:val="3A4A28"/>
          <w:sz w:val="17"/>
        </w:rPr>
        <w:t>Mosaic Company Strategy — CEO Bodine Leadership, Biosciences Targeting $130M+, Rare Earth Partnership, Cost Savings Programs, FertilizerDaily/WorldFertilizer 2024-2026</w:t>
      </w:r>
    </w:p>
    <w:p>
      <w:pPr>
        <w:spacing w:before="20" w:after="20"/>
        <w:ind w:left="170"/>
      </w:pPr>
      <w:r>
        <w:rPr>
          <w:rFonts w:ascii="Calibri" w:hAnsi="Calibri"/>
          <w:b/>
          <w:color w:val="4A6B25"/>
          <w:sz w:val="15"/>
        </w:rPr>
        <w:t xml:space="preserve">3. </w:t>
      </w:r>
      <w:r>
        <w:rPr>
          <w:rFonts w:ascii="Calibri" w:hAnsi="Calibri"/>
          <w:b w:val="0"/>
          <w:color w:val="3A4A28"/>
          <w:sz w:val="17"/>
        </w:rPr>
        <w:t>Mosaic ESG and Insider Activity — EPA $2B Settlement (Legacy), 2030 Sustainability Targets, Board Purchases (Kuzenko $210K, Westbrook $108K, Beebe $175K), Sustainalytics ESG Risk 33.5, DOJ Fertilizer Pricing Inquiry,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MOS Key Statistics: Price $18.74, Forward P/E 11.91, D/E 52.2%, ROE -5.1%, Book Value $36.06, Dividend Yield 4.7%,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