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MO</w:t>
      </w:r>
      <w:r>
        <w:rPr>
          <w:rFonts w:ascii="Calibri" w:hAnsi="Calibri"/>
          <w:b/>
          <w:color w:val="1A2010"/>
          <w:sz w:val="40"/>
        </w:rPr>
        <w:t xml:space="preserve">  Altria Group, Inc.</w:t>
      </w:r>
    </w:p>
    <w:p>
      <w:pPr>
        <w:spacing w:after="120"/>
      </w:pPr>
      <w:r>
        <w:rPr>
          <w:rFonts w:ascii="Calibri" w:hAnsi="Calibri"/>
          <w:b/>
          <w:color w:val="6E8450"/>
          <w:sz w:val="18"/>
        </w:rPr>
        <w:t>DIVIDEND SLEEVE · 2026-10-10 · Inspire: -65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Tobacco · NYQ · United States</w:t>
      </w:r>
    </w:p>
    <w:p>
      <w:pPr>
        <w:spacing w:after="80"/>
      </w:pPr>
      <w:r>
        <w:rPr>
          <w:rFonts w:ascii="Calibri" w:hAnsi="Calibri"/>
          <w:b w:val="0"/>
          <w:color w:val="3A4A28"/>
          <w:sz w:val="20"/>
        </w:rPr>
        <w:t>Altria Group is the dominant U.S. tobacco company, manufacturing and selling cigarettes (Marlboro, ~42% premium segment market share), smokeless tobacco (Copenhagen, Skoal), oral nicotine pouches (on! PLUS), and e-vapor products (NJOY ACE). A Dividend King with 57 consecutive years of dividend increases, Altria generates TTM revenue of approximately $20.4B with a 39.0% profit margin. New CEO Sal Mancuso succeeded Billy Gifford in May 2026. H1 2026 net revenues increased 1.6% to $11.54B.</w:t>
      </w:r>
    </w:p>
    <w:p>
      <w:r>
        <w:rPr>
          <w:rFonts w:ascii="Calibri" w:hAnsi="Calibri"/>
          <w:b/>
          <w:color w:val="6E8450"/>
          <w:sz w:val="18"/>
        </w:rPr>
        <w:t>5,900 Employees · https://www.altria.com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Altria's innovation record is marred by the $10B+ Juul write-down and NJOY ACE ITC import exclusion [1]. The on! PLUS oral nicotine pouch nationwide launch (March 2026) and Horizon JV with JT Group for Ploom heated tobacco sticks are positive but remain small relative to Marlboro's revenue dominance. H1 2026 adjusted EPS rose 4.9%, driven by pricing power rather than innovation [1]. AI Deployment (0/2): Altria reports building foundational enterprise-wide AI capabilities but no AI-powered products ship to consumers and no specific AI-driven cost savings or revenue gains have been quantified [2]. Market Share (2/2): Marlboro holds a dominant ~42% market share in the U.S. premium cigarette segment, providing unmatched pricing power despite accelerating volume decline [1]. On! PLUS is gaining share in the rapidly growing oral nicotine pouch category against Zyn. Product Pipeline (1/2): Ploom heated tobacco and Marlboro HTS submitted PMTA and modified risk application to FDA; on! PLUS expanding internationally via e-commerce; Helix Innovations achieved profitability ahead of schedule [1]. R&amp;D Intensity (0/1): R&amp;D investment is modest relative to revenue; tobacco advertising restrictions limit R&amp;D applicability.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Altria's stated purpose of 'Moving Beyond Smoking' is clear and specific, representing a genuine attempt to articulate purpose in an industry with inherent inspirational limitations [3]. However, the mission is economically forced — cigarette volumes decline regardless — and Marlboro still generates the vast majority of profits. Community Impact (1/2): Altria has a 200+ year history in Richmond, Virginia with deep community ties, and has returned billions to shareholders annually [1]. The Altria Foundation supports various community programs. However, the core product causes an estimated 480,000 deaths annually in the U.S. alone, creating irreconcilable tension with community benefit. Employee Retention (0/2): The lean 5,900-employee organization generates $20B+ in annual revenue suggesting high productivity, but no specific tenure or voluntary turnover data is available, and the CEO transition in May 2026 introduces leadership uncertainty [2]. Insider Buying (0/2): No evidence of meaningful net insider buying in the last 12 months; the CEO transition adds questions about leadership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metrics with D/E and ROE excluded due to negative shareholder equity ($-3.5B equity against $25.7B debt from aggressive buybacks) [3]. Revenue Growth YoY of 1.2% scores 0.71 (target 10%, floor -20%) [1]. Revenue Growth 5yr CAGR of -0.7% scores 0.29 (target 10%, floor -5%), reflecting structural cigarette volume decline. Forward P/E of 12.22 scores 1.0 (target 20, floor 60) [3]. Profit Margin of 39.0% scores 1.0 (target 20%, floor 0%) — exceptional for consumer staples [3]. Payout Ratio of 89.3% scores 0.18 (target 40%, floor 100%) — elevated but sustainable given tobacco cash flow predictability [3]. Consecutive Years Paid: 57 scores 1.0 at 2x weight (Dividend King) [1]. Consecutive Years Growth: 57 scores 1.0 at 1x weight [1]. 5yr Dividend Growth CAGR of 3.9% scores 0.65 at 2x weight [3]. Weighted sum: 0.71+0.29+1.0+1.0+0.18+2.0+1.0+1.3 = 7.48. Max 10 (excluding D/E and ROE). Score: 7.48/10 x 10 = 7.5, rounds to 7. Daily dollar volume of ~$613M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Altria demonstrates notable endurance characteristics — 57 consecutive years of dividend growth and 200+ year corporate history — but Sinek would identify fundamental tension in a company whose core product causes preventable death while claiming to 'Move Beyond Smoking.' The $10B+ in failed smoke-free investments (Juul write-off, NJOY import ban) reveal finite thinking around buying growth rather than building organically. Overwhelming dependence on Marlboro cigarette profits suggests the transition rhetoric significantly outpaces reality, and the second CEO change in five years introduces strategic uncertainty.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'Moving Beyond Smoking' is directionally positive but Sinek would view it skeptically — the cause is economically forced (cigarette volumes declining annually) rather than voluntarily chosen, and Marlboro still generates the vast majority of profits [1][3]. A genuine Just Cause would require Altria to prioritize the transition even when costly, not merely when the legacy business is shrinking. The company sells products known to cause cancer and addiction, creating irreconcilable tension with transcendent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Altria's lean 5,900-employee organization has delivered 57 consecutive years of dividend growth, requiring exceptional operational reliability [1]. The CEO transition from Gifford to Mancuso (May 2026) was executed smoothly with internal CFO promotion. However, the Juul investment disaster ($10B+ destroyed) and NJOY ACE import ban suggest governance failures at the strategic investment level that erode trust in leadership's capital allocation judgment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Altria's competitive posture is finite. The company returned IQOS U.S. commercialization rights to Philip Morris International rather than competing, suggesting retreat rather than learning [1]. The on! PLUS launch is a reactive response to Zyn's market dominance in oral nicotine rather than proactive evolution. Competitive language focuses on defending Marlboro's 42% share and achieving 'industry-leading' nicotine space share — win/lose framing rather than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Altria has invested $13B+ attempting to diversify beyond cigarettes — Juul ($10B+), NJOY ($3B+), on! PLUS, and the Horizon/Ploom heated tobacco JV — demonstrating willingness to invest in transformation [1]. On! PLUS is expanding internationally and Helix Innovations achieved profitability ahead of schedule. However, after two decades of 'transformation' rhetoric and massive capital deployment, the company remains overwhelmingly dependent on Marlboro cigarette profits.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57 consecutive years of dividend increases while navigating secular cigarette decline requires financial discipline [1]. Investing $13B+ in smoke-free alternatives despite repeated failures shows willingness to accept losses for long-term positioning. 2026 EPS guidance of $5.61-$5.72 (3.5-5.5% growth) demonstrates confidence in pricing power despite volume headwinds. However, the $3.9B returned to shareholders in H1 2026 alone prioritizes current investors over transformative reinvestment, and the 89% payout ratio constrains strategic flexibility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Altria at $71.68 offers a 6.19% dividend yield backed by 57 consecutive years of increases (Dividend King status) and 2026 EPS guidance of $5.61-$5.72 (3.5-5.5% growth) [1][3]. At 12.2x forward P/E, the stock is priced for minimal growth despite Marlboro's dominant ~42% premium cigarette market share providing unmatched pricing power — H1 2026 net revenues increased 1.6% to $11.54B with adjusted EPS up 4.9% [1]. Profit margin of 39.0% is exceptional for consumer staples, and the business is structurally immune to AI disruption. The on! PLUS nationwide launch, Ploom heated tobacco PMTA submission, and Helix Innovations achieving profitability provide incremental upside optionality from the smoke-free transition [1].</w:t>
      </w:r>
    </w:p>
    <w:p>
      <w:pPr>
        <w:spacing w:after="120"/>
      </w:pPr>
      <w:r>
        <w:rPr>
          <w:rFonts w:ascii="Calibri" w:hAnsi="Calibri"/>
          <w:b w:val="0"/>
          <w:color w:val="3A4A28"/>
          <w:sz w:val="20"/>
        </w:rPr>
        <w:t>The bear case is structural and existential. Cigarette volumes continue secular decline as smoking rates fall, and the 5-year revenue CAGR of -0.7% confirms the core business is shrinking [1]. The $10B+ Juul write-off and NJOY ACE import ban demonstrate that Altria's smoke-free investments have destroyed massive shareholder value with no proven path to replacing Marlboro's profitability. The payout ratio of 89.3% leaves minimal margin for dividend safety if earnings decelerate — any acceleration in volume decline or regulatory shock (menthol ban, nicotine caps) could threaten the Dividend King status [3]. Negative shareholder equity ($-3.5B against $25.7B total debt) reflects aggressive financial engineering rather than organic capital strength. The CEO change to Mancuso — the second leadership transition in five years — introduces strategic uncertainty. The Inspire MISALIGNED rating (-65) with Tobacco, Cannabis, and LGBT Activism attributions limits the institutional investor base and excludes the stock from ESG-screened portfolios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On! PLUS oral nicotine pouch gaining share against Zyn with international expansion and Helix Innovations achieving profitability ahead of schedule, providing a credible non-cigarette growth engine in the rapidly expanding nicotine pouch category [1]</w:t>
      </w:r>
    </w:p>
    <w:p>
      <w:pPr>
        <w:spacing w:before="40" w:after="40"/>
        <w:ind w:left="283"/>
      </w:pPr>
      <w:r>
        <w:rPr>
          <w:rFonts w:ascii="Calibri" w:hAnsi="Calibri"/>
          <w:b/>
          <w:color w:val="4A6B25"/>
          <w:sz w:val="20"/>
        </w:rPr>
        <w:t xml:space="preserve">2. </w:t>
      </w:r>
      <w:r>
        <w:rPr>
          <w:rFonts w:ascii="Calibri" w:hAnsi="Calibri"/>
          <w:b w:val="0"/>
          <w:color w:val="3A4A28"/>
          <w:sz w:val="20"/>
        </w:rPr>
        <w:t>Ploom heated tobacco and Marlboro HTS receiving FDA PMTA and modified risk approval, opening a new regulatory-approved reduced-risk revenue stream in the U.S. market [1]</w:t>
      </w:r>
    </w:p>
    <w:p>
      <w:pPr>
        <w:spacing w:before="40" w:after="40"/>
        <w:ind w:left="283"/>
      </w:pPr>
      <w:r>
        <w:rPr>
          <w:rFonts w:ascii="Calibri" w:hAnsi="Calibri"/>
          <w:b/>
          <w:color w:val="4A6B25"/>
          <w:sz w:val="20"/>
        </w:rPr>
        <w:t xml:space="preserve">3. </w:t>
      </w:r>
      <w:r>
        <w:rPr>
          <w:rFonts w:ascii="Calibri" w:hAnsi="Calibri"/>
          <w:b w:val="0"/>
          <w:color w:val="3A4A28"/>
          <w:sz w:val="20"/>
        </w:rPr>
        <w:t>Marlboro pricing power sustaining mid-single-digit EPS growth despite volume declines, with 2026 guidance raised to $5.61-$5.72 and forward P/E of 12.2x offering value relative to the 6.19% yield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cigarette volume decline driven by secular smoking trends, GLP-1 drug adoption reducing oral fixation behaviors, and illicit e-vapor competition could overwhelm Marlboro's pricing power and compress margins [1][2]</w:t>
      </w:r>
    </w:p>
    <w:p>
      <w:pPr>
        <w:spacing w:before="40" w:after="40"/>
        <w:ind w:left="283"/>
      </w:pPr>
      <w:r>
        <w:rPr>
          <w:rFonts w:ascii="Calibri" w:hAnsi="Calibri"/>
          <w:b/>
          <w:color w:val="4A6B25"/>
          <w:sz w:val="20"/>
        </w:rPr>
        <w:t xml:space="preserve">2. </w:t>
      </w:r>
      <w:r>
        <w:rPr>
          <w:rFonts w:ascii="Calibri" w:hAnsi="Calibri"/>
          <w:b w:val="0"/>
          <w:color w:val="3A4A28"/>
          <w:sz w:val="20"/>
        </w:rPr>
        <w:t>Payout ratio of 89.3% and negative shareholder equity ($-3.5B) leave minimal buffer for dividend safety — any earnings miss or volume decline acceleration could force a dividend growth slowdown, destroying the Dividend King premium [3]</w:t>
      </w:r>
    </w:p>
    <w:p>
      <w:pPr>
        <w:spacing w:before="40" w:after="40"/>
        <w:ind w:left="283"/>
      </w:pPr>
      <w:r>
        <w:rPr>
          <w:rFonts w:ascii="Calibri" w:hAnsi="Calibri"/>
          <w:b/>
          <w:color w:val="4A6B25"/>
          <w:sz w:val="20"/>
        </w:rPr>
        <w:t xml:space="preserve">3. </w:t>
      </w:r>
      <w:r>
        <w:rPr>
          <w:rFonts w:ascii="Calibri" w:hAnsi="Calibri"/>
          <w:b w:val="0"/>
          <w:color w:val="3A4A28"/>
          <w:sz w:val="20"/>
        </w:rPr>
        <w:t>Regulatory risk from potential FDA menthol ban, nicotine reduction mandates, or tightened marketing restrictions could structurally impair the core cigarette franchise while smoke-free alternatives remain unproven at scale after $13B+ in failed investments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Tobacco manufacturing, distribution, and retail relationships are physical-world operations that AI structurally cannot displace [1]. Nicotine's addictive properties create exceptionally sticky demand independent of technology trends, and Altria's regulatory moat — FDA approval processes, advertising restrictions, and licensing requirements — represents barriers AI cannot circumvent. The 200+ year operating history and Marlboro brand equity are assets software cannot replicate. AI-powered health monitoring and cessation tools may marginally accelerate smoking decline, but this secular trend is already priced into the equity and represents a health/regulatory risk, not an AI disruption risk [2]. AI Opportunity (0/1): No quantifiable AI revenue. Altria reports enterprise-wide AI exploration but no products shipping, no cost savings disclosed, and no specific revenue attributable to AI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Cannabis: Cultivation </w:t>
      </w:r>
      <w:r>
        <w:rPr>
          <w:rFonts w:ascii="Calibri" w:hAnsi="Calibri"/>
          <w:b w:val="0"/>
          <w:color w:val="9DAF88"/>
          <w:sz w:val="17"/>
        </w:rPr>
        <w:t xml:space="preserve">  ·  </w:t>
      </w:r>
      <w:r>
        <w:rPr>
          <w:rFonts w:ascii="Calibri" w:hAnsi="Calibri"/>
          <w:b/>
          <w:color w:val="DC2626"/>
          <w:sz w:val="17"/>
        </w:rPr>
        <w:t xml:space="preserve"> Cannabis: THC Retail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Tobacco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Altria Group H1/Q2 2026 Results — H1 Revenue $11.54B (+1.6%), Q2 Revenue $6.11B, Adjusted EPS H1 +4.9%, 2026 Guidance $5.61-$5.72, Quartr/Earnings Whispers, July-August 2026</w:t>
      </w:r>
    </w:p>
    <w:p>
      <w:pPr>
        <w:spacing w:before="20" w:after="20"/>
        <w:ind w:left="170"/>
      </w:pPr>
      <w:r>
        <w:rPr>
          <w:rFonts w:ascii="Calibri" w:hAnsi="Calibri"/>
          <w:b/>
          <w:color w:val="4A6B25"/>
          <w:sz w:val="15"/>
        </w:rPr>
        <w:t xml:space="preserve">2. </w:t>
      </w:r>
      <w:r>
        <w:rPr>
          <w:rFonts w:ascii="Calibri" w:hAnsi="Calibri"/>
          <w:b w:val="0"/>
          <w:color w:val="3A4A28"/>
          <w:sz w:val="17"/>
        </w:rPr>
        <w:t>Altria Group CEO Transition and AI Strategy — Sal Mancuso Succeeds Billy Gifford (May 2026), Enterprise AI Exploration, PitchGrade AI Margin Analysis,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MO Key Statistics: Price $71.68, Forward P/E 12.22, PEG 2.74, Profit Margin 39.0%, Dividend Yield 6.19%, Payout Ratio 89.3%, Negative Equity $-3.5B,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Altria Group ESG — Tobacco Exclusion from ESG Funds, Shareholder Proposals on Youth Marketing and Civil Rights, Sustainalytics Severe Product Risk, InvestmentNews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