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MPLX</w:t>
      </w:r>
      <w:r>
        <w:rPr>
          <w:rFonts w:ascii="Calibri" w:hAnsi="Calibri"/>
          <w:b/>
          <w:color w:val="1A2010"/>
          <w:sz w:val="40"/>
        </w:rPr>
        <w:t xml:space="preserve">  MPLX LP</w:t>
      </w:r>
    </w:p>
    <w:p>
      <w:pPr>
        <w:spacing w:after="120"/>
      </w:pPr>
      <w:r>
        <w:rPr>
          <w:rFonts w:ascii="Calibri" w:hAnsi="Calibri"/>
          <w:b/>
          <w:color w:val="6E8450"/>
          <w:sz w:val="18"/>
        </w:rPr>
        <w:t>DIVIDEND SLEEVE · 2026-09-17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United States</w:t>
      </w:r>
    </w:p>
    <w:p>
      <w:pPr>
        <w:spacing w:after="80"/>
      </w:pPr>
      <w:r>
        <w:rPr>
          <w:rFonts w:ascii="Calibri" w:hAnsi="Calibri"/>
          <w:b w:val="0"/>
          <w:color w:val="3A4A28"/>
          <w:sz w:val="20"/>
        </w:rPr>
        <w:t>MPLX LP is a large-cap midstream master limited partnership formed by Marathon Petroleum Corporation (MPC), operating crude oil and refined products pipelines, storage terminals, and natural gas/NGL gathering, processing, and fractionation assets. MPLX itself has no direct employees; operations are staffed under contract by MPC affiliates. Led by MPC President and CEO Michael Hennigan and MPLX President Shawn Lyon, the partnership reported FY2025 revenue of $13.0B (+17% YoY) and record net income of $4.91B (+15% YoY), with 2026 growth capital raised to $2.9B, over 90% directed toward natural gas and NGL infrastructure to serve rising power demand, including from AI data centers [1][2]. Management guides to 12.5% annual distribution increases in both 2026 and 2027 with a target coverage ratio of at least 1.3x.</w:t>
      </w:r>
    </w:p>
    <w:p>
      <w:r>
        <w:rPr>
          <w:rFonts w:ascii="Calibri" w:hAnsi="Calibri"/>
          <w:b/>
          <w:color w:val="6E8450"/>
          <w:sz w:val="18"/>
        </w:rPr>
        <w:t>https://www.mplx.com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MPLX's "wellhead-to-water" strategy has expanded the partnership from legacy refined-products logistics into natural gas gathering, processing, and NGL infrastructure, with six major growth projects (including a plant due online in August 2026) funded by $2.9B of 2026 growth capital -- a meaningful strategic broadening, though incremental for an asset-heavy MLP rather than a category-redefining pivot [1]. AI Deployment (0/2): No evidence was found of MPLX deploying AI within its own operations; its AI connection is as an indirect infrastructure beneficiary (data-center power demand), not an AI product or internal AI-driven efficiency program. Market Share (1/2): MPLX operates one of the largest integrated midstream systems in the U.S., with strong positions in the Permian, Marcellus, and Utica basins, but competes with several large-scale midstream peers (Enterprise, Energy Transfer, Kinder Morgan) without singular category dominance. Product Pipeline (2/2): Six specifically identified growth projects are coming online in 2026, including a named plant startup date (August 2026), backed by a specific, increased capital figure ($2.9B, up $500M) -- concrete, dated visibility [1]. R&amp;D Intensity (0/1): Midstream infrastructure businesses are capital-expenditure- rather than R&amp;D-driven; no meaningful R&amp;D-to-revenue data applicable to this business model was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MPLX's public communications center on reliable energy delivery and distribution growth targets, generic and interchangeable language shared by most midstream MLP peers, with no distinctively articulated purpose beyond financial performance identified. Community Impact (0/2): Research surfaced reported protests from indigenous communities regarding pipeline pathways rather than distinctive positive community investment, and no offsetting charitable program data was found. Employee Retention (0/2): Not applicable/no data -- MPLX has no direct employees of its own (staffed by MPC affiliates), so no retention data specific to the partnership exists.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 stock (Inspire-eligible sleeve). MPLX shows strong operating metrics: ROE of 33.7% and profit margin of 39.3% both far exceed their 15%/20% targets (both capped at 1.0), revenue growth YoY of 10.6% is at target, and forward P/E of 12.0 is well below the 20x target [1]. On the dividend side, a 7.26% yield is backed by 13+ consecutive years of distributions and increases since the 2012 IPO and a strong 5yr distribution growth CAGR of ~9.4% (both capped at 1.0 with 2x weight). The main drags are elevated leverage (D/E of 183%, reflecting typical MLP capital structure, well above the 70% target and scoring 0) and a payout ratio near 90% (common for MLPs distributing the bulk of distributable cash flow, scoring only 0.17 against the 40% target). Liquidity is not a concern: ~1.38M average daily volume at $57.93/share implies ~$80M in daily dollar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MPLX operates a durable, largely immune physical infrastructure franchise, but its public communications and capital allocation are oriented around distribution growth targets and coverage ratios -- a financially engineered, quarter-to-quarter framing more consistent with Sinek's finite-game archetype than a company built around an enduring Just Cause. The $2.9B 2026 growth program shows some willingness to invest ahead of demand, but no evidence of costly principled sacrifice, distinctive culture, or worthy-rival framing was identified.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MPLX's public narrative is centered on distribution growth (12.5% targeted increases in 2026 and 2027) and coverage ratios rather than a service-oriented vision of a better future; this is standard MLP financial-engineering language rather than an articulated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specific culture, turnover, or engagement data was identified for MPLX or its staffing affiliate MPC; the partnership appears operationally stable with consistent leadership (CEO Hennigan since 2021, President Lyon since 2021) but with no evidence of exceptional trust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management commentary framing competitors as sources of learning or improvement was identified in available disclosures.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"wellhead-to-water" strategy broadening MPLX from refined-products logistics into natural gas gathering, processing, and NGL infrastructure represents real business-model evolution aligned with the AI-driven power demand cycle, though this is an incremental capital allocation shift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raised 2026 growth capital by $500M to $2.9B, committing capital ahead of demand materializing for natural gas and NGL infrastructure serving the AI power buildout -- a real forward-looking capital bet, though this is consistent with standard MLP growth capital allocation rather than an example of walking away from near-term profit.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MPLX offers a durable, high-yield income profile backed by physical midstream infrastructure that is structurally immune to AI disruption and, unusually, a direct beneficiary of the AI buildout via rising natural gas demand for data-center power generation [2]. FY2025 revenue grew 17% to $13.0B with record net income of $4.91B, ROE of 33.7%, and a profit margin of 39.3%, while management has guided to 12.5% annual distribution increases in both 2026 and 2027 backed by a 1.3x coverage target and a 7.26% current yield with 13+ consecutive years of distribution growth since the 2012 IPO [1]. The $2.9B 2026 growth capital program, over 90% weighted to natural gas and NGL infrastructure, positions the partnership to capture a multi-year secular power-demand tailwind.</w:t>
      </w:r>
    </w:p>
    <w:p>
      <w:pPr>
        <w:spacing w:after="120"/>
      </w:pPr>
      <w:r>
        <w:rPr>
          <w:rFonts w:ascii="Calibri" w:hAnsi="Calibri"/>
          <w:b w:val="0"/>
          <w:color w:val="3A4A28"/>
          <w:sz w:val="20"/>
        </w:rPr>
        <w:t>The bear case centers on financial structure and mission depth rather than operating performance. MPLX carries elevated leverage (D/E of ~183%) and distributes roughly 90% of distributable cash flow, typical for the MLP structure but leaving less cushion than a traditional dividend-paying corporate, and any commodity-price or Permian production slowdown would pressure the growth capex thesis underpinning distribution guidance. On the qualitative dimensions, MPLX's public communications are oriented around distribution growth and coverage-ratio targets rather than an articulated Just Cause, and reported indigenous-community concerns regarding pipeline pathways weigh on Inspiration; combined with a lack of distinctive innovation or AI deployment within its own operations, the Infinite Game score of 4/10 (FINITE) and Innovation score of 5/10 offset an otherwise strong Infrastructure and AI Resilience profile, landing the stock in WATCH territory just below 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Six major growth projects coming online in 2026, funded by $2.9B of growth capital (up $500M), over 90% directed to natural gas/NGL infrastructure serving AI-driven power demand -- expected to materially boost cash flow by 2027 [1][2]</w:t>
      </w:r>
    </w:p>
    <w:p>
      <w:pPr>
        <w:spacing w:before="40" w:after="40"/>
        <w:ind w:left="283"/>
      </w:pPr>
      <w:r>
        <w:rPr>
          <w:rFonts w:ascii="Calibri" w:hAnsi="Calibri"/>
          <w:b/>
          <w:color w:val="4A6B25"/>
          <w:sz w:val="20"/>
        </w:rPr>
        <w:t xml:space="preserve">2. </w:t>
      </w:r>
      <w:r>
        <w:rPr>
          <w:rFonts w:ascii="Calibri" w:hAnsi="Calibri"/>
          <w:b w:val="0"/>
          <w:color w:val="3A4A28"/>
          <w:sz w:val="20"/>
        </w:rPr>
        <w:t>Guided 12.5% annual distribution increases in both 2026 and 2027 with a 1.3x target coverage ratio, extending a 13+ year streak of annual distribution growth since the 2012 IPO</w:t>
      </w:r>
    </w:p>
    <w:p>
      <w:pPr>
        <w:spacing w:before="40" w:after="40"/>
        <w:ind w:left="283"/>
      </w:pPr>
      <w:r>
        <w:rPr>
          <w:rFonts w:ascii="Calibri" w:hAnsi="Calibri"/>
          <w:b/>
          <w:color w:val="4A6B25"/>
          <w:sz w:val="20"/>
        </w:rPr>
        <w:t xml:space="preserve">3. </w:t>
      </w:r>
      <w:r>
        <w:rPr>
          <w:rFonts w:ascii="Calibri" w:hAnsi="Calibri"/>
          <w:b w:val="0"/>
          <w:color w:val="3A4A28"/>
          <w:sz w:val="20"/>
        </w:rPr>
        <w:t>Structural AI tailwind: surging power demand from AI data centers is driving incremental need for natural gas pipeline and processing capacity, positioning MPLX as an indirect but direct financial beneficiary of the AI buildout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(D/E of ~183%, MLP-typical but well above the IOWN 70% target) combined with a ~90% payout ratio leaves limited balance-sheet and distribution cushion if commodity prices or Permian production volumes disappoint [1]</w:t>
      </w:r>
    </w:p>
    <w:p>
      <w:pPr>
        <w:spacing w:before="40" w:after="40"/>
        <w:ind w:left="283"/>
      </w:pPr>
      <w:r>
        <w:rPr>
          <w:rFonts w:ascii="Calibri" w:hAnsi="Calibri"/>
          <w:b/>
          <w:color w:val="4A6B25"/>
          <w:sz w:val="20"/>
        </w:rPr>
        <w:t xml:space="preserve">2. </w:t>
      </w:r>
      <w:r>
        <w:rPr>
          <w:rFonts w:ascii="Calibri" w:hAnsi="Calibri"/>
          <w:b w:val="0"/>
          <w:color w:val="3A4A28"/>
          <w:sz w:val="20"/>
        </w:rPr>
        <w:t>Reported indigenous-community concerns over pipeline pathways represent an ongoing social/regulatory risk factor common to large midstream systems and could affect permitting timelines for new growth projects</w:t>
      </w:r>
    </w:p>
    <w:p>
      <w:pPr>
        <w:spacing w:before="40" w:after="40"/>
        <w:ind w:left="283"/>
      </w:pPr>
      <w:r>
        <w:rPr>
          <w:rFonts w:ascii="Calibri" w:hAnsi="Calibri"/>
          <w:b/>
          <w:color w:val="4A6B25"/>
          <w:sz w:val="20"/>
        </w:rPr>
        <w:t xml:space="preserve">3. </w:t>
      </w:r>
      <w:r>
        <w:rPr>
          <w:rFonts w:ascii="Calibri" w:hAnsi="Calibri"/>
          <w:b w:val="0"/>
          <w:color w:val="3A4A28"/>
          <w:sz w:val="20"/>
        </w:rPr>
        <w:t>Distribution growth guidance (12.5% in 2026 and 2027) depends on the $2.9B growth capital program converting to cash flow on schedule by 2027; execution delays on the six 2026 projects would push back the anticipated cash flow inflection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MPLX's business -- physical pipelines, storage, and gas processing infrastructure -- is structurally immune to AI substitution; no software tool can move crude oil, refined products, or natural gas. More notably, AI is a direct demand tailwind: surging power consumption from AI data centers is driving need for more natural gas pipeline capacity and power generation, and MPLX's $2.9B 2026 growth program is over 90% weighted toward natural gas/NGL infrastructure to serve exactly this demand [2]. AI Opportunity (0/1): MPLX does not generate quantified "AI revenue" in the sense of selling AI products or services -- its AI exposure is indirect infrastructure demand already captured under Risk Protection -- so the tiebreaker point is not separately awarded.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MPLX LP Reports Fourth-Quarter and Full-Year 2025 Results; Q2 2026 Financial Results; 2026 Growth Capital Guidance -- PRNewswire, StockTitan, MPLX Investor Relations, 2025-2026</w:t>
      </w:r>
    </w:p>
    <w:p>
      <w:pPr>
        <w:spacing w:before="20" w:after="20"/>
        <w:ind w:left="170"/>
      </w:pPr>
      <w:r>
        <w:rPr>
          <w:rFonts w:ascii="Calibri" w:hAnsi="Calibri"/>
          <w:b/>
          <w:color w:val="4A6B25"/>
          <w:sz w:val="15"/>
        </w:rPr>
        <w:t xml:space="preserve">2. </w:t>
      </w:r>
      <w:r>
        <w:rPr>
          <w:rFonts w:ascii="Calibri" w:hAnsi="Calibri"/>
          <w:b w:val="0"/>
          <w:color w:val="3A4A28"/>
          <w:sz w:val="17"/>
        </w:rPr>
        <w:t>MPLX Upgrading To Bullish As The Gulf Coast Build-Out Meets The AI Power; MPLX Leadership (CEO Hennigan, President Lyon) -- Seeking Alpha, MPLX.com,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MPLX Dividend History, Yield 7.26%, Payout Ratio, 5yr Dividend Growth 9.38% -- WallStreetZen, Fool.com,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MPLX ESG and Indigenous Community Pipeline Pathway Concerns -- general midstream ESG research,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yfinance / data.fetcher key statistics for MPLX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