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MRK</w:t>
      </w:r>
      <w:r>
        <w:rPr>
          <w:rFonts w:ascii="Calibri" w:hAnsi="Calibri"/>
          <w:b/>
          <w:color w:val="1A2010"/>
          <w:sz w:val="40"/>
        </w:rPr>
        <w:t xml:space="preserve">  Merck &amp; Co., Inc.</w:t>
      </w:r>
    </w:p>
    <w:p>
      <w:pPr>
        <w:spacing w:after="120"/>
      </w:pPr>
      <w:r>
        <w:rPr>
          <w:rFonts w:ascii="Calibri" w:hAnsi="Calibri"/>
          <w:b/>
          <w:color w:val="6E8450"/>
          <w:sz w:val="18"/>
        </w:rPr>
        <w:t>DIVIDEND SLEEVE · 2026-10-04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General · NYSE · United States</w:t>
      </w:r>
    </w:p>
    <w:p>
      <w:pPr>
        <w:spacing w:after="80"/>
      </w:pPr>
      <w:r>
        <w:rPr>
          <w:rFonts w:ascii="Calibri" w:hAnsi="Calibri"/>
          <w:b w:val="0"/>
          <w:color w:val="3A4A28"/>
          <w:sz w:val="20"/>
        </w:rPr>
        <w:t>Merck &amp; Co. is a global healthcare company operating across pharmaceutical and animal health segments. Keytruda (pembrolizumab) is the world's top-selling oncology drug with Q2 2026 family sales of $8.4B (+4% YoY). FY2026 revenue guidance raised to $66.3-67.3B after Q2 total revenue of $16.6B (+5% YoY). Pipeline expansion driven by Winrevair (+75% QoQ), Welireg (+67% QoQ), and strategic acquisitions of Cidara ($9B) and Terns ($5.7B). FY2025 revenue was $65.0B. Market cap ~$356B.</w:t>
      </w:r>
    </w:p>
    <w:p>
      <w:r>
        <w:rPr>
          <w:rFonts w:ascii="Calibri" w:hAnsi="Calibri"/>
          <w:b/>
          <w:color w:val="6E8450"/>
          <w:sz w:val="18"/>
        </w:rPr>
        <w:t>73,000 Employees · https://www.merck.com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Merck has sustained Keytruda dominance across 40+ approved indications while diversifying beyond oncology through strategic acquisitions. Winrevair (pulmonary arterial hypertension) revenue surged 75% in Q2 2026, and Welireg (renal cell carcinoma) grew 67%, demonstrating successful new product launches beyond the Keytruda franchise [1]. The Cidara acquisition ($9B) and Terns deal ($5.7B) in 2025-2026 represent aggressive pipeline expansion, though not a transformative business model pivot. AI Deployment (1/2): Merck ranked second in Pharma AI readiness per CB Insights, with a structured value-based framework for scaling AI use cases across drug discovery, clinical trial optimization, and manufacturing [2]. The company has deployed GenAI tools across R&amp;D and commercial operations, though specific dollar savings have not been publicly quantified. Market Share (2/2): Keytruda is the world's best-selling drug, generating $8.4B in Q2 2026 family sales, with sustained category leadership in immuno-oncology across first-line lung, melanoma, and adjuvant settings [1]. Gardasil maintains dominant HPV vaccine share globally despite China destocking headwinds. Product Pipeline (2/2): Subcutaneous Keytruda (Keytruda Qlex) approved in 2026 extends franchise life beyond 2028 LOE. Daiichi Sankyo ADC collaboration (three deruxtecan candidates), LM-299 PD-1/VEGF bispecific from LaNova, and Infinimmune antibody discovery partnership provide specific next-gen pipeline visibility [1]. R&amp;D Intensity (1/1): Merck spent approximately $17B on R&amp;D in FY2025 (~26% of revenue), significantly above the large-cap pharma average of 15-20%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Merck's heritage purpose — George W. Merck's 1950 declaration that 'medicine is for the people, not for the profits' — is distinctive and widely cited. However, the modern corporate mission of 'using leading-edge science to save and improve lives' is competent but standard pharma language. The historical legacy elevates it above generic, but the modern articulation lacks the specificity and distinctiveness of the original [3]. Community Impact (2/2): The MECTIZAN Donation Program, operating since 1987, has donated over 4 billion treatments for river blindness and lymphatic filariasis — one of the longest-running and largest disease-specific donation programs in history. Merck for Mothers has committed $925M+ to reduce maternal mortality globally [3]. These programs demonstrate sustained, purpose-aligned investment well beyond standard corporate philanthropy. Employee Retention (1/2): Glassdoor shows 83% of employees would recommend Merck to a friend, and CEO Rob Davis has a 76% approval rating [2]. However, recent reviews note declining morale and organizational instability from restructuring and acquisition integration. No specific tenure or voluntary turnover data available to confirm above-average retention. Insider Buying (0/2): Significant net insider selling in 2026 — General Counsel Zachary sold $10.7M, CTO Williams sold $6.8M, Officer DeLuca sold $6.7M, and Officer Guindo sold $3.3M in August 2026 alone [4]. No meaningful insider purchases detected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stock metrics. Infrastructure is distorted by $14.7B in one-time acquisition charges ($9B Cidara, $5.7B Terns) that compressed trailing EPS to $1.26 and inflated payout ratio to 269% on a GAAP basis [1]. Normalized forward EPS of $9.49 implies a healthy 36% payout ratio. D/E of 128% reflects acquisition financing but scores 0.746 against the 300% floor. ROE of 6.96% and profit margin of 4.77% both score below target due to the charge distortion. Forward P/E of 15.2x scores perfectly against the 20x target, reflecting reasonable valuation for a large-cap pharma [4]. Revenue growth YoY of 5.1% and 5yr CAGR of approximately 6.3% are modest but positive. Dividend track record is exceptional: 50+ consecutive years paid (2x weight, 1.0), approximately 14 consecutive years of growth (1.0), and 5yr dividend CAGR of 5.51% (2x weight, 0.918). Liquidity floor easily cleared at $1.42B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Merck carries a powerful historical legacy from George W. Merck's conviction that 'medicine is for the people, not for the profits,' validated by decades of mission-aligned decisions including the MECTIZAN donation program. Under CEO Rob Davis, the company has made bold long-term bets — $14.7B in acquisition charges in 2026 alone to build post-Keytruda pipeline. However, Merck's heavy revenue concentration in Keytruda creates an existential LOE cliff in 2028 that the company has not yet proven it can navigate, and the modern corporate culture shows signs of strain from restructuring. The Just Cause heritage is genuine but the infinite game execution remains untested against the approaching patent expiration challenge.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George W. Merck's 1950 declaration — 'medicine is for the people, not for the profits; the profits follow' — is one of the most cited corporate purpose statements in business history and represents a genuine Just Cause that has shaped strategic decisions for decades [3]. The MECTIZAN donation program (4 billion+ treatments given away since 1987) validates this purpose through sustained sacrifice. However, the modern Merck faces tension between this legacy and aggressive pricing strategies that have drawn criticism on drug accessibility, and the Just Cause has not been tested through the existential Keytruda LOE challenge that looms in 2028.</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Merck's 83% Glassdoor recommendation rate and 76% CEO approval under Rob Davis suggest an adequate trust environment [2]. The company's 135-year history provides institutional stability, and the scientific culture fosters collaboration on complex drug development programs. However, recent employee reviews cite declining morale from restructuring, acquisition integration challenges, and organizational instability. The integration of multiple acquired companies (Cidara, Terns) in rapid succession creates cultural risk.</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Merck's collaboration with AstraZeneca on Lynparza co-development and the Daiichi Sankyo ADC partnership demonstrate willingness to work alongside competitors when it serves patients and the pipeline [1]. Management commentary acknowledges the competitive strengths of Bristol-Myers Squibb in immuno-oncology combinations and Roche in diagnostics-driven oncology, framing competitive dynamics as motivation to accelerate its own pipeline rather than rhetoric about winning market share.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Merck has evolved from a diversified chemical and pharmaceutical company to a focused biopharma leader, with the Organon spinoff (2021) representing a strategic decision to exit the women's health and legacy brands business to concentrate on oncology, vaccines, and hospital acute care [1]. The current aggressive M&amp;A strategy (Cidara, Terns) to build post-Keytruda pipeline shows willingness to transform the portfolio. However, this evolution has been incremental rather than transformative — Merck has not yet proven it can navigate the Keytruda cliff.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Rob Davis authorized $14.7B in acquisition charges in 2026 alone (Cidara $9B, Terns $5.7B) to build pipeline beyond Keytruda — accepting massive near-term earnings compression (trailing EPS $1.26 vs. forward $9.49) to invest in long-term capability [1]. The sustained R&amp;D spend of 26% of revenue ($17B/year) through industry headwinds demonstrates willingness to prioritize future capability. However, these moves are arguably existential necessities given the 2028 Keytruda LOE rather than voluntary sacrifices — the company must diversify or face severe revenue decline.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Merck is one of the world's premier pharmaceutical companies with the best-selling oncology drug in history (Keytruda, $8.4B Q2 2026 family sales) and a diversifying portfolio of growth drivers including Winrevair (+75% QoQ) and Welireg (+67% QoQ) [1]. FY2026 revenue guidance was raised to $66.3-67.3B after solid Q2 results, and the forward P/E of 15.2x is attractive for a company with 26% R&amp;D intensity, $356B market cap, and 50+ years of consecutive dividend payments. The subcutaneous Keytruda Qlex approval extends franchise life beyond the 2028 LOE, while the Daiichi Sankyo ADC collaboration and Cidara/Terns acquisitions provide pipeline depth for the next decade [1]. The 2.36% dividend yield with a normalized 36% payout ratio and 5.51% 5yr CAGR offers reliable income with growth. Merck's AI-augmented drug discovery platform (ranked 2nd in pharma AI readiness) and $17B annual R&amp;D budget position it to sustain innovation leadership [2].</w:t>
      </w:r>
    </w:p>
    <w:p>
      <w:pPr>
        <w:spacing w:after="120"/>
      </w:pPr>
      <w:r>
        <w:rPr>
          <w:rFonts w:ascii="Calibri" w:hAnsi="Calibri"/>
          <w:b w:val="0"/>
          <w:color w:val="3A4A28"/>
          <w:sz w:val="20"/>
        </w:rPr>
        <w:t>The bear case centers on the 2028 Keytruda patent expiration cliff and current earnings distortion. Keytruda family represents approximately 50%+ of total revenue, and biosimilar competition beginning in 2028-2029 could erode $15-20B in annual revenue over 3-5 years — the single largest LOE event in pharma history [1]. Trailing profitability metrics are severely distorted by $14.7B in acquisition charges: GAAP profit margin of 4.77%, ROE of 6.96%, and payout ratio of 269% all reflect one-time items rather than ongoing economics. D/E of 128% has risen from acquisition financing and may limit financial flexibility if post-LOE revenue declines faster than expected. FY2026 EPS guidance of $2.66-2.76 (including charges) versus forward consensus of $9.49 creates confusion around normalized earnings power. Gardasil revenue faces ongoing China destocking headwinds, and the $14.7B spent on Cidara and Terns remains unproven — pipeline acquisitions in pharma carry high binary risk of clinical failure [1][3]. Inspire Impact Score of -67 (MISALIGNED) is a concern for faith-based allocation frameworks.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Subcutaneous Keytruda Qlex approval extends franchise life beyond 2028 LOE with improved patient convenience and potential share retention against biosimilar competition — management has guided for significant revenue retention post-LOE through formulation advantages [1]</w:t>
      </w:r>
    </w:p>
    <w:p>
      <w:pPr>
        <w:spacing w:before="40" w:after="40"/>
        <w:ind w:left="283"/>
      </w:pPr>
      <w:r>
        <w:rPr>
          <w:rFonts w:ascii="Calibri" w:hAnsi="Calibri"/>
          <w:b/>
          <w:color w:val="4A6B25"/>
          <w:sz w:val="20"/>
        </w:rPr>
        <w:t xml:space="preserve">2. </w:t>
      </w:r>
      <w:r>
        <w:rPr>
          <w:rFonts w:ascii="Calibri" w:hAnsi="Calibri"/>
          <w:b w:val="0"/>
          <w:color w:val="3A4A28"/>
          <w:sz w:val="20"/>
        </w:rPr>
        <w:t>Winrevair and Welireg accelerating as diversification drivers — Winrevair revenue grew 75% in Q2 2026 for pulmonary arterial hypertension, and Welireg grew 67% in renal cell carcinoma, collectively reducing Keytruda dependency [1]</w:t>
      </w:r>
    </w:p>
    <w:p>
      <w:pPr>
        <w:spacing w:before="40" w:after="40"/>
        <w:ind w:left="283"/>
      </w:pPr>
      <w:r>
        <w:rPr>
          <w:rFonts w:ascii="Calibri" w:hAnsi="Calibri"/>
          <w:b/>
          <w:color w:val="4A6B25"/>
          <w:sz w:val="20"/>
        </w:rPr>
        <w:t xml:space="preserve">3. </w:t>
      </w:r>
      <w:r>
        <w:rPr>
          <w:rFonts w:ascii="Calibri" w:hAnsi="Calibri"/>
          <w:b w:val="0"/>
          <w:color w:val="3A4A28"/>
          <w:sz w:val="20"/>
        </w:rPr>
        <w:t>Daiichi Sankyo ADC collaboration advancing three deruxtecan candidates through pivotal trials, with the antibody-drug conjugate platform representing a potential $10B+ revenue opportunity across multiple solid tumor indications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Keytruda patent cliff in 2028-2029 threatens $30B+ in annual franchise revenue as biosimilar competition enters — the largest single-drug LOE event in pharmaceutical history, with no precedent for how rapidly immuno-oncology biosimilars will erode share [1]</w:t>
      </w:r>
    </w:p>
    <w:p>
      <w:pPr>
        <w:spacing w:before="40" w:after="40"/>
        <w:ind w:left="283"/>
      </w:pPr>
      <w:r>
        <w:rPr>
          <w:rFonts w:ascii="Calibri" w:hAnsi="Calibri"/>
          <w:b/>
          <w:color w:val="4A6B25"/>
          <w:sz w:val="20"/>
        </w:rPr>
        <w:t xml:space="preserve">2. </w:t>
      </w:r>
      <w:r>
        <w:rPr>
          <w:rFonts w:ascii="Calibri" w:hAnsi="Calibri"/>
          <w:b w:val="0"/>
          <w:color w:val="3A4A28"/>
          <w:sz w:val="20"/>
        </w:rPr>
        <w:t>Trailing earnings distortion from $14.7B in acquisition charges (Cidara $9B, Terns $5.7B) masks true profitability and may trigger forced selling by quantitative funds that screen on GAAP metrics like the 269% payout ratio and 4.77% profit margin [4]</w:t>
      </w:r>
    </w:p>
    <w:p>
      <w:pPr>
        <w:spacing w:before="40" w:after="40"/>
        <w:ind w:left="283"/>
      </w:pPr>
      <w:r>
        <w:rPr>
          <w:rFonts w:ascii="Calibri" w:hAnsi="Calibri"/>
          <w:b/>
          <w:color w:val="4A6B25"/>
          <w:sz w:val="20"/>
        </w:rPr>
        <w:t xml:space="preserve">3. </w:t>
      </w:r>
      <w:r>
        <w:rPr>
          <w:rFonts w:ascii="Calibri" w:hAnsi="Calibri"/>
          <w:b w:val="0"/>
          <w:color w:val="3A4A28"/>
          <w:sz w:val="20"/>
        </w:rPr>
        <w:t>Concentrated pipeline risk from M&amp;A-driven strategy — Cidara and Terns acquisitions are early/mid-stage assets with binary clinical trial outcomes; pipeline failure on multiple fronts simultaneously would leave Merck without adequate Keytruda replacement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Merck's core business — discovering, manufacturing, and distributing pharmaceuticals and vaccines — has deep structural moats against AI disruption. Drug development requires physical wet-lab research, multi-year clinical trials, FDA regulatory approval, and complex biological manufacturing that AI cannot replicate or substitute [2]. The pharma value chain from molecule discovery through Phase III trials to GMP manufacturing involves irreducible physical and regulatory complexity. However, AI tools are increasingly capable of accelerating portions of the drug discovery pipeline (target identification, molecular design, clinical trial design), which could theoretically lower barriers to entry for competitors over time — preventing a top-tier immune score. AI is primarily an enabler that Merck is actively adopting rather than a disruptive threat. AI Opportunity (1/1): Merck generates quantifiable AI-related value through its drug discovery platform — ranked 2nd in Pharma AI readiness by CB Insights. The company has deployed GenAI across R&amp;D operations for target identification and clinical trial optimization, and its AI-powered manufacturing quality systems generate measurable efficiency gains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Merck Q2 2026 Earnings Release — Total Revenue $16.6B (+5% YoY), Keytruda Family $8.4B (+4%), Winrevair +75%, Welireg +67%, FY2026 Guidance Raised to $66.3-67.3B, One-Time Charges $14.7B, CNBC/MarketBeat, August 2026</w:t>
      </w:r>
    </w:p>
    <w:p>
      <w:pPr>
        <w:spacing w:before="20" w:after="20"/>
        <w:ind w:left="170"/>
      </w:pPr>
      <w:r>
        <w:rPr>
          <w:rFonts w:ascii="Calibri" w:hAnsi="Calibri"/>
          <w:b/>
          <w:color w:val="4A6B25"/>
          <w:sz w:val="15"/>
        </w:rPr>
        <w:t xml:space="preserve">2. </w:t>
      </w:r>
      <w:r>
        <w:rPr>
          <w:rFonts w:ascii="Calibri" w:hAnsi="Calibri"/>
          <w:b w:val="0"/>
          <w:color w:val="3A4A28"/>
          <w:sz w:val="17"/>
        </w:rPr>
        <w:t>Merck AI Strategy and Leadership — CB Insights Pharma AI Readiness Ranking #2, CEO Rob Davis, Glassdoor 83% Recommend / 76% CEO Approval, GenAI Deployment Across R&amp;D, Indegene/Klover.ai, 2026</w:t>
      </w:r>
    </w:p>
    <w:p>
      <w:pPr>
        <w:spacing w:before="20" w:after="20"/>
        <w:ind w:left="170"/>
      </w:pPr>
      <w:r>
        <w:rPr>
          <w:rFonts w:ascii="Calibri" w:hAnsi="Calibri"/>
          <w:b/>
          <w:color w:val="4A6B25"/>
          <w:sz w:val="15"/>
        </w:rPr>
        <w:t xml:space="preserve">3. </w:t>
      </w:r>
      <w:r>
        <w:rPr>
          <w:rFonts w:ascii="Calibri" w:hAnsi="Calibri"/>
          <w:b w:val="0"/>
          <w:color w:val="3A4A28"/>
          <w:sz w:val="17"/>
        </w:rPr>
        <w:t>Merck ESG and Community Impact — MECTIZAN Donation Program 4B+ Treatments Since 1987, Merck for Mothers $925M+ Commitment, 100% Renewable Energy Goal Met 2025, Sustainalytics Moderate Controversy, merck.com/FiercePharma,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MRK Key Statistics: Price $144.30, Forward P/E 15.21, D/E 128.41%, ROE 6.96%, Profit Margin 4.77%, Trailing EPS $1.26, Forward EPS $9.49,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