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MRSH</w:t>
      </w:r>
      <w:r>
        <w:rPr>
          <w:rFonts w:ascii="Calibri" w:hAnsi="Calibri"/>
          <w:b/>
          <w:color w:val="1A2010"/>
          <w:sz w:val="40"/>
        </w:rPr>
        <w:t xml:space="preserve">  Marsh McLennan Companies, Inc.</w:t>
      </w:r>
    </w:p>
    <w:p>
      <w:pPr>
        <w:spacing w:after="120"/>
      </w:pPr>
      <w:r>
        <w:rPr>
          <w:rFonts w:ascii="Calibri" w:hAnsi="Calibri"/>
          <w:b/>
          <w:color w:val="6E8450"/>
          <w:sz w:val="18"/>
        </w:rPr>
        <w:t>DIVIDEND SLEEVE · 2026-09-05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Insurance Brokers · NYSE · United States</w:t>
      </w:r>
    </w:p>
    <w:p>
      <w:pPr>
        <w:spacing w:after="80"/>
      </w:pPr>
      <w:r>
        <w:rPr>
          <w:rFonts w:ascii="Calibri" w:hAnsi="Calibri"/>
          <w:b w:val="0"/>
          <w:color w:val="3A4A28"/>
          <w:sz w:val="20"/>
        </w:rPr>
        <w:t>Marsh McLennan is the world's largest insurance broker and risk advisor, operating through four businesses: Marsh (insurance brokerage and risk management), Guy Carpenter (reinsurance brokerage), Mercer (workforce and investment consulting), and Oliver Wyman (management consulting). The company reported 2025 full-year revenue of $27.0B (+10% YoY) with adjusted operating income of $7.3B and adjusted EPS of $9.75. Q2 2026 consolidated revenue grew 6.2% to $7.4B with 5% underlying growth. Market cap approximately $89B.</w:t>
      </w:r>
    </w:p>
    <w:p>
      <w:r>
        <w:rPr>
          <w:rFonts w:ascii="Calibri" w:hAnsi="Calibri"/>
          <w:b/>
          <w:color w:val="6E8450"/>
          <w:sz w:val="18"/>
        </w:rPr>
        <w:t>85,000 Employees · https://www.marshmclennan.com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Marsh McLennan completed 20 acquisitions adding $255M of revenue in 2025 and launched the Thrive restructuring program targeting $400M in annualized savings [1]. The McGriff Insurance acquisition expanded the middle-market platform. These are disciplined operational moves but represent acquisition-driven growth rather than transformative innovation or business model reinvention. AI Deployment (1/2): The company has launched its AI Work and Risk Roadmap, combining Marsh's risk expertise with Mercer's workforce analytics to help clients navigate AI adoption risks and workforce transformation [2]. AI has been identified as the most significant operational shift, with management applying AI to enhance client experience and underwriting analysis, though no specific revenue or savings figures have been disclosed. Market Share (2/2): World's largest insurance broker with dominant global market position across insurance brokerage (Marsh), reinsurance (Guy Carpenter), workforce consulting (Mercer), and management consulting (Oliver Wyman), serving clients in 130+ countries [1]. Product Pipeline (1/2): The Thrive program provides near-term operational visibility and the active acquisition pipeline adds growth optionality, but no specific next-generation products with launch dates and revenue visibility have been announced beyond general AI integration plans [1]. R&amp;D Intensity (0/1): Professional services firm with no meaningful formal R&amp;D spend; innovation is embedded within operating expenses rather than separately reported.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Marsh McLennan's purpose — 'making a difference in the moments that matter' — identifies the company's role in helping clients navigate uncertainty and manage risk, but is interchangeable with many professional services peers and lacks a transformative vision of a better future [3]. The mission is thoughtful but does not clearly differentiate or inspire beyond the industry standard. Community Impact (1/2): The company operates the Racial Inclusion and Social Equity (RISE) program welcoming Black fellows from 30+ colleges and universities across the US, UK, and Canada, has endorsed Science Based Targets initiative submissions, and publishes comprehensive ESG reports under 'Empowering Sustainable Futures' [3]. These are meaningful but represent standard large-cap corporate philanthropy. Employee Retention (1/2): Glassdoor rating of 3.9/5 with 76% of employees recommending the company; reviews highlight open culture, approachable executives, and transparent communications [2]. CEO John Q. Doyle leads a management team with stable tenure. Adequate retention indicators for the industry but no standout data.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ROE of 29.35% reflects exceptional capital efficiency for a professional services firm, well above the 15% target [4]. Forward P/E of 17.84x sits below the 20x target, providing valuation discipline. Dividend metrics are outstanding: 17 consecutive years of dividend growth with a 14.12% five-year CAGR and a 10% increase to $0.99 quarterly declared August 2026 (2x weighted items scoring 1.0) [4]. Revenue 5-year CAGR of 8.3% scores 0.89 against the 10% target. Q2 2026 revenue growth of 6.2% (with 5% underlying) scores 0.90 against the 10% YoY target [1]. The primary drags are D/E of 140% (scoring 0.70, elevated from acquisition financing) and profit margin of 17% (scoring 0.85, below the 20% target but strong for professional services). Payout ratio of approximately 42% is slightly above the 40% ideal. Liquidity floor easily cleared with ~$420M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Marsh McLennan is a 120+ year-old company that has demonstrated remarkable longevity through steady evolution rather than transformative reinvention. The firm diversified from pure insurance broking into reinsurance (Guy Carpenter), HR consulting (Mercer), and management consulting (Oliver Wyman), but these moves were incremental over decades. The Thrive restructuring program's focus on $400M in cost savings suggests near-term optimization thinking, while the 17-year dividend growth streak and consistent margin expansion reflect longer-term operational discipline.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Marsh McLennan's purpose of 'making a difference in the moments that matter' is a corporate tagline rather than a Just Cause Sinek would recognize [3]. The company's 120+ year history demonstrates remarkable endurance, but strategic narrative centers on revenue growth, adjusted EPS, margin expansion, and capital allocation — finite metrics — rather than an idealistic vision of a better future that inspires sacrifice [1]. The purpose is interchangeable with any peer advisory firm.</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3.9/5 with 76% recommendation rate indicates an adequate work environment [2]. Employees cite open culture and approachable executives as positives, and the management team shows stable tenure under CEO Doyle. However, employee feedback also flags high focus on operational efficiencies with limited focus on new revenue opportunities, suggesting cost-driven management priorities. No evidence of exceptional psychological safety or employee empowerment beyond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Marsh McLennan acknowledges competitive threats from Insurtech startups and technology companies seeking to disintermediate traditional brokers, and has responded by investing in AI capabilities and digital tools rather than dismissing new entrants [2]. The company's competitive language focuses on serving clients and building distinctive capabilities across risk, strategy, and people rather than defeating specific competitors like Aon or WTW.</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Marsh McLennan has evolved over 120+ years from a pure insurance brokerage into a diversified professional services platform spanning insurance (Marsh), reinsurance (Guy Carpenter), HR consulting (Mercer), and management consulting (Oliver Wyman) [1]. The McGriff acquisition expanded the middle-market platform, and the AI Work and Risk Roadmap represents adaptation to new market demands. These changes are significant but incremental over decades — not transformative pivots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Thrive restructuring program committing to $400M in annualized savings demonstrates willingness to invest in organizational change, and the company completed 20 acquisitions in 2025 while maintaining discipline in returning $3.7B to shareholders [1]. However, with 18 consecutive years of margin expansion, these decisions carry relatively low risk — true courage would involve sacrificing near-term earnings for long-term capability, which is not evident in a company optimizing an already-working formula.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Marsh McLennan at 17.84x forward earnings offers reasonable value for the world's largest insurance broker, with Q2 2026 revenue of $7.4B (+6.2% YoY, 5% underlying) demonstrating steady growth momentum [1]. The Thrive restructuring program targeting $400M in annualized savings should drive further margin expansion beyond the 18 consecutive years already achieved. The dividend profile is exceptional: 17 consecutive years of growth with a 14.12% five-year CAGR, and a 10% increase to $3.96 annually declared in August 2026 [4]. ROE of 29.35% reflects strong capital efficiency, and the $89B market cap provides deep liquidity. The insurance broking model generates highly recurring revenue with 90%+ client retention rates, and Marsh's dominant market position creates pricing power in a consolidating industry.</w:t>
      </w:r>
    </w:p>
    <w:p>
      <w:pPr>
        <w:spacing w:after="120"/>
      </w:pPr>
      <w:r>
        <w:rPr>
          <w:rFonts w:ascii="Calibri" w:hAnsi="Calibri"/>
          <w:b w:val="0"/>
          <w:color w:val="3A4A28"/>
          <w:sz w:val="20"/>
        </w:rPr>
        <w:t>The bear case centers on decelerating growth momentum and moderate leverage. Revenue growth has slowed from 10.3% in full-year 2025 to 6.2% in Q2 2026, with underlying organic growth of only 5% — suggesting the acquisition-driven boost is fading [1]. Q1 2026 EPS declined to $2.37 from $2.81 in Q1 2025, indicating lumpy quarterly earnings. D/E of 140% reflects acquisition-funded leverage that could constrain flexibility in a downturn. PEG ratio of 2.68 suggests the market prices in sustained growth that may prove difficult as the company scales beyond $27B in revenue [4]. Oliver Wyman's management consulting and portions of Mercer face AI disruption risk as analytical advisory work becomes increasingly automatable [2]. The Inspire Impact Score of 0 (MIXED) with no attributions provides no signal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Thrive restructuring program delivering $400M in annualized cost savings, potentially driving 100-200bps of additional margin expansion over the next 12-18 months on top of the existing 18-year streak [1]</w:t>
      </w:r>
    </w:p>
    <w:p>
      <w:pPr>
        <w:spacing w:before="40" w:after="40"/>
        <w:ind w:left="283"/>
      </w:pPr>
      <w:r>
        <w:rPr>
          <w:rFonts w:ascii="Calibri" w:hAnsi="Calibri"/>
          <w:b/>
          <w:color w:val="4A6B25"/>
          <w:sz w:val="20"/>
        </w:rPr>
        <w:t xml:space="preserve">2. </w:t>
      </w:r>
      <w:r>
        <w:rPr>
          <w:rFonts w:ascii="Calibri" w:hAnsi="Calibri"/>
          <w:b w:val="0"/>
          <w:color w:val="3A4A28"/>
          <w:sz w:val="20"/>
        </w:rPr>
        <w:t>AI Work and Risk Roadmap positioning Marsh McLennan as the premier advisor for organizations navigating AI adoption risks, workforce transformation, and regulatory compliance — a rapidly growing addressable market [2]</w:t>
      </w:r>
    </w:p>
    <w:p>
      <w:pPr>
        <w:spacing w:before="40" w:after="40"/>
        <w:ind w:left="283"/>
      </w:pPr>
      <w:r>
        <w:rPr>
          <w:rFonts w:ascii="Calibri" w:hAnsi="Calibri"/>
          <w:b/>
          <w:color w:val="4A6B25"/>
          <w:sz w:val="20"/>
        </w:rPr>
        <w:t xml:space="preserve">3. </w:t>
      </w:r>
      <w:r>
        <w:rPr>
          <w:rFonts w:ascii="Calibri" w:hAnsi="Calibri"/>
          <w:b w:val="0"/>
          <w:color w:val="3A4A28"/>
          <w:sz w:val="20"/>
        </w:rPr>
        <w:t>Continued dividend growth trajectory with 14.12% five-year CAGR and 10% increase declared August 2026, supported by a 42% payout ratio with room for future increases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10.3% (FY2025) to 6.2% (Q2 2026) with underlying organic growth of only 5% suggests momentum is slowing toward mid-single digits, which may not support the 22x trailing PE if the trend continues [1]</w:t>
      </w:r>
    </w:p>
    <w:p>
      <w:pPr>
        <w:spacing w:before="40" w:after="40"/>
        <w:ind w:left="283"/>
      </w:pPr>
      <w:r>
        <w:rPr>
          <w:rFonts w:ascii="Calibri" w:hAnsi="Calibri"/>
          <w:b/>
          <w:color w:val="4A6B25"/>
          <w:sz w:val="20"/>
        </w:rPr>
        <w:t xml:space="preserve">2. </w:t>
      </w:r>
      <w:r>
        <w:rPr>
          <w:rFonts w:ascii="Calibri" w:hAnsi="Calibri"/>
          <w:b w:val="0"/>
          <w:color w:val="3A4A28"/>
          <w:sz w:val="20"/>
        </w:rPr>
        <w:t>Oliver Wyman's management consulting and Mercer's analytical advisory work face AI disruption as strategic frameworks, research, and workforce planning become increasingly commoditized by AI tools [2]</w:t>
      </w:r>
    </w:p>
    <w:p>
      <w:pPr>
        <w:spacing w:before="40" w:after="40"/>
        <w:ind w:left="283"/>
      </w:pPr>
      <w:r>
        <w:rPr>
          <w:rFonts w:ascii="Calibri" w:hAnsi="Calibri"/>
          <w:b/>
          <w:color w:val="4A6B25"/>
          <w:sz w:val="20"/>
        </w:rPr>
        <w:t xml:space="preserve">3. </w:t>
      </w:r>
      <w:r>
        <w:rPr>
          <w:rFonts w:ascii="Calibri" w:hAnsi="Calibri"/>
          <w:b w:val="0"/>
          <w:color w:val="3A4A28"/>
          <w:sz w:val="20"/>
        </w:rPr>
        <w:t>Elevated D/E of 140% from acquisition-funded growth constrains financial flexibility and increases interest expense sensitivity in a higher-for-longer rate environment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Marsh McLennan's core insurance brokerage business is structurally protected by deep client relationships, regulatory complexity across 130+ countries, proprietary risk data, and institutional trust built over 120+ years [1]. Insurance placement requires human judgment on complex, bespoke risks that AI cannot fully automate. However, Oliver Wyman's management consulting and portions of Mercer's HR advisory face moderate AI exposure as AI tools increasingly commoditize research, analytical frameworks, and workforce planning [2]. The company itself recognizes threats from Insurtech startups and technology companies seeking to disintermediate traditional players through AI, blockchain, and digital platforms. AI Opportunity (1/1): Marsh McLennan generates revenue from AI-related advisory services through its AI Work and Risk Roadmap product, combining Marsh's risk expertise with Mercer's workforce analytics to help organizations navigate AI adoption risks, workforce transformation, and regulatory compliance [2]. AI has been identified as the company's top operational priority, and advisory services around AI risk management represent a growing addressable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Marsh McLennan Q4 2025 Earnings Transcript and Q2 2026 Results — Full-Year 2025 Revenue $27.0B (+10%), Adjusted Operating Income $7.3B, Adjusted EPS $9.75 (+9%), Q2 2026 Revenue $7.4B (+6.2%), Thrive $400M Target — The Motley Fool, Simply Wall St, January-July 2026</w:t>
      </w:r>
    </w:p>
    <w:p>
      <w:pPr>
        <w:spacing w:before="20" w:after="20"/>
        <w:ind w:left="170"/>
      </w:pPr>
      <w:r>
        <w:rPr>
          <w:rFonts w:ascii="Calibri" w:hAnsi="Calibri"/>
          <w:b/>
          <w:color w:val="4A6B25"/>
          <w:sz w:val="15"/>
        </w:rPr>
        <w:t xml:space="preserve">2. </w:t>
      </w:r>
      <w:r>
        <w:rPr>
          <w:rFonts w:ascii="Calibri" w:hAnsi="Calibri"/>
          <w:b w:val="0"/>
          <w:color w:val="3A4A28"/>
          <w:sz w:val="17"/>
        </w:rPr>
        <w:t>Marsh McLennan AI Strategy, Leadership, and Culture — AI Work and Risk Roadmap, CEO Doyle Vision, Glassdoor 3.9/5, Insurtech Disruption Risk — Sahm Capital, Built In,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Marsh McLennan ESG Report 'Empowering Sustainable Futures' — RISE Program, Science Based Targets, ESG Committee Governance — Insurance Business America, Corporate Website, 2023-2024</w:t>
      </w:r>
    </w:p>
    <w:p>
      <w:pPr>
        <w:spacing w:before="20" w:after="20"/>
        <w:ind w:left="170"/>
      </w:pPr>
      <w:r>
        <w:rPr>
          <w:rFonts w:ascii="Calibri" w:hAnsi="Calibri"/>
          <w:b/>
          <w:color w:val="4A6B25"/>
          <w:sz w:val="15"/>
        </w:rPr>
        <w:t xml:space="preserve">4. </w:t>
      </w:r>
      <w:r>
        <w:rPr>
          <w:rFonts w:ascii="Calibri" w:hAnsi="Calibri"/>
          <w:b w:val="0"/>
          <w:color w:val="3A4A28"/>
          <w:sz w:val="17"/>
        </w:rPr>
        <w:t>StockAnalysis, Simply Wall St, Yahoo Finance — MRSH Key Statistics: Forward P/E 17.84x, ROE 29.35%, D/E 140%, Profit Margin 17%, Dividend Yield 2.1%, 5yr Dividend Growth 14.12%, Stock Price $182.15,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