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MSIF</w:t>
      </w:r>
      <w:r>
        <w:rPr>
          <w:rFonts w:ascii="Calibri" w:hAnsi="Calibri"/>
          <w:b/>
          <w:color w:val="1A2010"/>
          <w:sz w:val="40"/>
        </w:rPr>
        <w:t xml:space="preserve">  MSC Income Fund, Inc.</w:t>
      </w:r>
    </w:p>
    <w:p>
      <w:pPr>
        <w:spacing w:after="120"/>
      </w:pPr>
      <w:r>
        <w:rPr>
          <w:rFonts w:ascii="Calibri" w:hAnsi="Calibri"/>
          <w:b/>
          <w:color w:val="6E8450"/>
          <w:sz w:val="18"/>
        </w:rPr>
        <w:t>DIVIDEND SLEEVE · 2026-10-14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MSC Income Fund, Inc. is a publicly traded Business Development Company (BDC) externally managed by MSC Adviser I, LLC, a wholly-owned subsidiary of Main Street Capital Corporation. The fund provides customized long-term debt capital to private middle market companies with revenue between $10M and $150M, primarily supporting management buyouts, recapitalizations, growth financings, and refinancings. The fund completed its NYSE listing in January 2025. Q2 2026 delivered net income of $29.3M (+80% YoY), 15.9% annualized ROE, a 4% sequential increase in NAV per share to $16.51, and $19M in net fair value appreciation. CEO Dwayne Hyzak will transition to Executive Chairman in Q4 2026 with Nicholas Meserve succeeding as CEO.</w:t>
      </w:r>
    </w:p>
    <w:p>
      <w:r>
        <w:rPr>
          <w:rFonts w:ascii="Calibri" w:hAnsi="Calibri"/>
          <w:b/>
          <w:color w:val="6E8450"/>
          <w:sz w:val="18"/>
        </w:rPr>
        <w:t>https://www.mscincomefund.com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MSC Income Fund completed its NYSE listing in January 2025 after years as a non-listed BDC, transitioning to public markets with a $85.4M follow-on offering at $15.53/share [1]. Post-IPO, the fund executed a strategic pivot away from lower middle market equity and debt co-investments toward an exclusive focus on private loan (senior debt) financing — a meaningful business model change, though arguably a de-risking move rather than innovation [3]. AI Deployment (0/2): No evidence of AI-powered investment tools, AI-driven credit analysis, or quantified AI operational savings. The fund relies on Main Street Capital's traditional credit underwriting team and manual deal sourcing processes. Market Share (1/2): MSC Income Fund benefits from Main Street Capital's established position as one of the premier lower middle market BDC platforms, with strong deal sourcing through MAIN's origination engine [2]. However, the BDC space is highly competitive with dozens of public and private players including Ares Capital, Blue Owl, and Golub Capital. Product Pipeline (1/2): Q2 2026 total investment income of $35.7M and the fund's sole focus on private loans demonstrates steady deployment. Incoming CEO Meserve confirmed the private loan portfolio remains the main growth engine [1]. R&amp;D Intensity (0/1): BDCs do not conduct R&amp;D; innovation manifests through deal structuring and credit analytics.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MSC Income Fund's stated purpose is to provide capital to lower middle market companies that may lack access to traditional bank financing [2]. While this serves a legitimate economic function supporting small business growth, the mission is functional and financial — it does not articulate a transformative vision beyond generating investment returns for shareholders. Community Impact (1/2): The fund provides growth capital to lower middle market companies ($10-150M revenue), supporting job creation and economic development in communities served by these businesses [2]. Main Street Capital has supported hundreds of lower middle market companies since 2002, though specific community impact metrics are not published by MSIF separately. Employee Retention (0/2): As an externally managed BDC with no direct employees, employee retention and culture metrics are not applicable. The fund is managed by MSC Adviser I, LLC, and investment decisions are made by Main Street Capital's team. Insider Buying (2/2): Exceptional insider buying across the leadership team in 2025-2026. CEO Hyzak purchased ~$100K in shares, President Magdol bought $46K, CFO Gilbert made three purchases totaling ~$28K, and Directors Walker ($50K), Niemann ($83K), and Marks ($13K) all purchased shares [4]. Zero insider sales recorded — unanimously bullish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 stock. Forward P/E of 8.16x is deeply discounted, scoring at ceiling (1.0) [5]. Profit margin of 70.7% is exceptional for a BDC earning interest income with low operating costs (score 1.0). ROE of 13.5% is slightly below the 15% target (score 0.90), dipping from 15.9% annualized in Q2 2026 [1]. D/E of 88.3% is standard for a leveraged BDC (score 0.92). Revenue growth of 0.2% YoY is tepid (score 0.67), reflecting flat total investment income in recent quarters. Revenue 5yr CAGR of 23.5% exceeds the 10% target (score 1.0). The fund has paid distributions for 14+ years since 2011 founding (score 1.0, 2x weight), but consecutive years of growth is 0 (score 0.0) and 5yr dividend growth CAGR is unavailable (excluded). Payout ratio of ~78% scores 0.37. Weighted sum of 6.86 on 10 available weight units yields score of 7. The stock trades at a 28% discount to NAV ($11.83 vs $16.51 NAV). Liquidity floor cleared: 242K avg volume × $11.83 = $2.9M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MSC Income Fund benefits from Main Street Capital's two-decade track record in lower middle market lending, providing organizational continuity and proven credit discipline. The planned CEO transition from Hyzak to Meserve in Q4 2026 (with Hyzak remaining as Executive Chairman) mirrors the MELI model of preserving institutional knowledge while refreshing operational leadership. However, the fund's strategic pivot away from equity co-investments toward pure senior debt — driven by external adviser interests rather than a Just Cause — reflects finite-game thinking, and the externally managed structure limits cultural assessment.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MSC Income Fund exists to generate investment income through middle market lending. While providing capital to underserved lower middle market businesses serves an important economic function, the fund does not articulate a purpose beyond financial returns to shareholders [2]. The recent strategic shift away from lower middle market equity investments toward pure private loans was criticized by BDC Reporter as stripping equity upside from shareholders while Main Street Capital retains those investments in its own portfolio [3] — suggesting optimization for the adviser's interests rather than a broader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 an externally managed BDC with no direct employees, traditional organizational culture assessment is limited. Main Street Capital, which manages the fund, has maintained a stable leadership team — CEO Hyzak joined in 2002 and incoming CEO Meserve has been with the firm since 2012 [2]. The planned CEO transition in Q4 2026 is orderly and emphasizes continuity, with Hyzak remaining as Executive Chairman — a positive signal for institutional stability. However, the external management structure inherently creates principal-agent tensions between adviser and shareholders, which is not a high-trust model by Sinek's standards.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referencing competitors' strengths or using competitive pressure for self-improvement. MSC Income Fund competes in the crowded BDC space against Ares Capital, Blue Owl, Golub Capital, and dozens of others, but management commentary focuses on portfolio composition and yield metrics rather than competitive learning. The fund's differentiation claim — co-investing with Main Street Capital — is a sourcing advantage rather than an acknowledgment of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fund's post-IPO strategic pivot from a balanced lower middle market debt/equity portfolio to an exclusive private loan (senior debt) focus represents a meaningful business model change [3]. This shift repositioned the fund's risk profile and investment approach, and incoming CEO Meserve confirmed private loans are the fund's sole focus for new portfolio investments [1]. However, the pivot was criticized as favoring the external manager's interests rather than being driven by a Just Cause, and represents de-risking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Hyzak and multiple executives demonstrated personal conviction through significant insider buying — over $300K in aggregate purchases across 2025-2026 with zero insider sales [4]. This skin-in-the-game signals leadership alignment with shareholders. The planned CEO transition to Meserve shows willingness to evolve leadership for the fund's next phase. However, the strategic decision to shift away from lower middle market equity — potentially at shareholder expense — raises questions about whether leadership courage serves the fund's shareholders or the adviser's interests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MSC Income Fund at $11.83 offers a deep-value income thesis — approximately 12% trailing dividend yield at 5.55x trailing P/E, with Q2 2026 showing 80% net income growth YoY driven by $19M in net fair value appreciation across the portfolio [1]. The stock trades at a 28% discount to NAV of $16.51 per share, providing substantial upside if market perception normalizes, with NAV growing 4% sequentially in Q2. The fund benefits from Main Street Capital's premier lower middle market origination platform (active since 2002) with exclusive focus on senior secured private loans reducing credit risk. Unanimous insider buying — CEO, President, CFO, and three directors all purchasing shares with zero sales — provides strong conviction signals [4]. The shift to monthly dividends starting July 2026 increases distribution frequency, a common BDC tactic to attract retail income investors and potentially compress the NAV discount.</w:t>
      </w:r>
    </w:p>
    <w:p>
      <w:pPr>
        <w:spacing w:after="120"/>
      </w:pPr>
      <w:r>
        <w:rPr>
          <w:rFonts w:ascii="Calibri" w:hAnsi="Calibri"/>
          <w:b w:val="0"/>
          <w:color w:val="3A4A28"/>
          <w:sz w:val="20"/>
        </w:rPr>
        <w:t>The bear case centers on external management conflicts, declining NII, and interest rate sensitivity. Net investment income fell to $12.0M ($0.26/share) in Q2 2026 from $16.3M ($0.35/share) a year earlier, driven by higher expenses, and the portfolio transitions from higher-yielding equity co-investments to lower-yielding senior debt [1][3]. BDC Reporter criticized the strategic pivot as benefiting Main Street Capital at shareholder expense — MAIN retains lucrative lower middle market equity positions while MSIF is redirected to lower-return private loans [3]. The external management fee structure creates inherent conflicts of interest that the 28% NAV discount may reflect as a structural governance discount. The 88.3% D/E ratio means interest rate changes directly impact profitability, and falling rates could compress NII further. Lower middle market companies ($10-150M revenue) are particularly vulnerable to economic slowdown, and credit deterioration could force loan loss provisions that threaten dividend coverage. The Inspire Impact Score of 0 (MIXED) reflects limited ESG data availability for this BDC.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NAV discount of 28% ($11.83 vs $16.51 NAV) provides substantial upside if market re-rates toward fair value, potentially driven by consistent sequential NAV growth and shift to monthly dividends attracting income-focused investors [1][5]</w:t>
      </w:r>
    </w:p>
    <w:p>
      <w:pPr>
        <w:spacing w:before="40" w:after="40"/>
        <w:ind w:left="283"/>
      </w:pPr>
      <w:r>
        <w:rPr>
          <w:rFonts w:ascii="Calibri" w:hAnsi="Calibri"/>
          <w:b/>
          <w:color w:val="4A6B25"/>
          <w:sz w:val="20"/>
        </w:rPr>
        <w:t xml:space="preserve">2. </w:t>
      </w:r>
      <w:r>
        <w:rPr>
          <w:rFonts w:ascii="Calibri" w:hAnsi="Calibri"/>
          <w:b w:val="0"/>
          <w:color w:val="3A4A28"/>
          <w:sz w:val="20"/>
        </w:rPr>
        <w:t>Unanimous insider buying across CEO, President, CFO, and multiple directors in 2025-2026 with zero sales signals strong leadership conviction that the current price materially undervalues the portfolio [4]</w:t>
      </w:r>
    </w:p>
    <w:p>
      <w:pPr>
        <w:spacing w:before="40" w:after="40"/>
        <w:ind w:left="283"/>
      </w:pPr>
      <w:r>
        <w:rPr>
          <w:rFonts w:ascii="Calibri" w:hAnsi="Calibri"/>
          <w:b/>
          <w:color w:val="4A6B25"/>
          <w:sz w:val="20"/>
        </w:rPr>
        <w:t xml:space="preserve">3. </w:t>
      </w:r>
      <w:r>
        <w:rPr>
          <w:rFonts w:ascii="Calibri" w:hAnsi="Calibri"/>
          <w:b w:val="0"/>
          <w:color w:val="3A4A28"/>
          <w:sz w:val="20"/>
        </w:rPr>
        <w:t>CEO transition to Nicholas Meserve in Q4 2026 brings focused leadership — Meserve has led the private loan strategy since inception and confirmed it as the fund's sole growth engine, potentially unlocking cleaner execution and market credibility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External management by Main Street Capital creates structural conflicts of interest — the strategic pivot away from lower middle market equity was criticized as benefiting the adviser at shareholder expense, and the 29% NAV discount may reflect a permanent governance discount [3]</w:t>
      </w:r>
    </w:p>
    <w:p>
      <w:pPr>
        <w:spacing w:before="40" w:after="40"/>
        <w:ind w:left="283"/>
      </w:pPr>
      <w:r>
        <w:rPr>
          <w:rFonts w:ascii="Calibri" w:hAnsi="Calibri"/>
          <w:b/>
          <w:color w:val="4A6B25"/>
          <w:sz w:val="20"/>
        </w:rPr>
        <w:t xml:space="preserve">2. </w:t>
      </w:r>
      <w:r>
        <w:rPr>
          <w:rFonts w:ascii="Calibri" w:hAnsi="Calibri"/>
          <w:b w:val="0"/>
          <w:color w:val="3A4A28"/>
          <w:sz w:val="20"/>
        </w:rPr>
        <w:t>NII fell to $0.26/share in Q2 2026 from $0.35/share a year earlier, putting pressure on dividend coverage — further NII compression from falling rates or portfolio transition could force a dividend cut [1]</w:t>
      </w:r>
    </w:p>
    <w:p>
      <w:pPr>
        <w:spacing w:before="40" w:after="40"/>
        <w:ind w:left="283"/>
      </w:pPr>
      <w:r>
        <w:rPr>
          <w:rFonts w:ascii="Calibri" w:hAnsi="Calibri"/>
          <w:b/>
          <w:color w:val="4A6B25"/>
          <w:sz w:val="20"/>
        </w:rPr>
        <w:t xml:space="preserve">3. </w:t>
      </w:r>
      <w:r>
        <w:rPr>
          <w:rFonts w:ascii="Calibri" w:hAnsi="Calibri"/>
          <w:b w:val="0"/>
          <w:color w:val="3A4A28"/>
          <w:sz w:val="20"/>
        </w:rPr>
        <w:t>Lower middle market credit exposure makes the portfolio vulnerable to economic slowdown — private companies with $10-150M revenue have less ability to weather recession than large borrowers, and the fund's recent shift to senior debt reduces but does not eliminate credit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BDCs that lend to lower middle market companies occupy a space with meaningful natural protection from AI disruption. The core function — originating, underwriting, and servicing customized debt to small-to-mid-sized private companies — requires relationship-based deal sourcing, bespoke credit analysis, and hands-on portfolio management that AI cannot fully automate [2]. Regulatory requirements (Investment Company Act of 1940), the complexity of covenant-heavy middle market loans, and the importance of management assessment in private lending create barriers to AI displacement. However, AI is increasingly capable of automating aspects of credit analysis, risk scoring, and portfolio monitoring, and AI-native lending platforms could eventually compete for deal flow. The fund's reliance on Main Street Capital's origination platform provides insulation but also concentration risk. AI Opportunity (0/1): No evidence that MSC Income Fund or Main Street Capital generates revenue from AI products or services. While AI tools may assist credit analysis internally, no AI-driven revenue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MSC Income Fund Q2 2026 Earnings Release — Net Income $29.3M (+80% YoY), NII $0.33/share, Revenue $35.7M, ROE 15.9%, NAV $16.51/share (+4% QoQ), TradingView/Investing.com,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Main Street Capital Corporation — MSC Income Fund Investment Strategy, Lower Middle Market Focus, Origination Platform, CEO Transition (Hyzak to Meserve Q4 2026), CityBiz/StockTitan, 2026</w:t>
      </w:r>
    </w:p>
    <w:p>
      <w:pPr>
        <w:spacing w:before="20" w:after="20"/>
        <w:ind w:left="170"/>
      </w:pPr>
      <w:r>
        <w:rPr>
          <w:rFonts w:ascii="Calibri" w:hAnsi="Calibri"/>
          <w:b/>
          <w:color w:val="4A6B25"/>
          <w:sz w:val="15"/>
        </w:rPr>
        <w:t xml:space="preserve">3. </w:t>
      </w:r>
      <w:r>
        <w:rPr>
          <w:rFonts w:ascii="Calibri" w:hAnsi="Calibri"/>
          <w:b w:val="0"/>
          <w:color w:val="3A4A28"/>
          <w:sz w:val="17"/>
        </w:rPr>
        <w:t>BDC Reporter — Strategic Pivot Criticism, External Management Conflicts, Portfolio Transition from Equity Co-Investments to Private Loans, 2025</w:t>
      </w:r>
    </w:p>
    <w:p>
      <w:pPr>
        <w:spacing w:before="20" w:after="20"/>
        <w:ind w:left="170"/>
      </w:pPr>
      <w:r>
        <w:rPr>
          <w:rFonts w:ascii="Calibri" w:hAnsi="Calibri"/>
          <w:b/>
          <w:color w:val="4A6B25"/>
          <w:sz w:val="15"/>
        </w:rPr>
        <w:t xml:space="preserve">4. </w:t>
      </w:r>
      <w:r>
        <w:rPr>
          <w:rFonts w:ascii="Calibri" w:hAnsi="Calibri"/>
          <w:b w:val="0"/>
          <w:color w:val="3A4A28"/>
          <w:sz w:val="17"/>
        </w:rPr>
        <w:t>SEC Form 4 Insider Transaction Filings — Hyzak, Magdol, Gilbert, Walker, Niemann, Marks Insider Purchases ($300K+ aggregate), Zero Sales,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MSIF Key Statistics: Stock Price $11.83, P/E 5.55, Forward P/E 8.16, D/E 88.3%, ROE 13.5%, Profit Margin 70.7%, Avg Volume 242K,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