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MTCH</w:t>
      </w:r>
      <w:r>
        <w:rPr>
          <w:rFonts w:ascii="Calibri" w:hAnsi="Calibri"/>
          <w:b/>
          <w:color w:val="1A2010"/>
          <w:sz w:val="40"/>
        </w:rPr>
        <w:t xml:space="preserve">  Match Group, Inc.</w:t>
      </w:r>
    </w:p>
    <w:p>
      <w:pPr>
        <w:spacing w:after="120"/>
      </w:pPr>
      <w:r>
        <w:rPr>
          <w:rFonts w:ascii="Calibri" w:hAnsi="Calibri"/>
          <w:b/>
          <w:color w:val="6E8450"/>
          <w:sz w:val="18"/>
        </w:rPr>
        <w:t>GROWTH SLEEVE · 2026-10-16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Match Group operates the world's largest portfolio of online dating platforms including Tinder, Hinge, Match, Meetic, OkCupid, Pairs, and BLK. Q2 2026 revenue of $853M declined 1% YoY as total payers fell 6% to 13.3M, partially offset by 6% RPP growth to $21.13. Tinder revenue of $457M declined 1%, while Hinge grew 22%. Net income rose 36% to $171M. The company spun out Overtone, an AI-native dating venture led by Hinge co-founder Justin McLeod. Q3 guided $885-895M (-2 to -3% YoY). Full-year 2026 guidance of $3.41-$3.54B, approximately flat YoY.</w:t>
      </w:r>
    </w:p>
    <w:p>
      <w:r>
        <w:rPr>
          <w:rFonts w:ascii="Calibri" w:hAnsi="Calibri"/>
          <w:b/>
          <w:color w:val="6E8450"/>
          <w:sz w:val="18"/>
        </w:rPr>
        <w:t>2,200 Employees · https://mtch.com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Hinge remains the growth engine at 22% YoY revenue growth in Q2 2026 on track toward its $1B target by 2027, and the Overtone AI dating spinout under Justin McLeod represents a bold bet on AI-native dating [1][2]. However, the flagship Tinder product deteriorated from +2% revenue growth in Q1 to -1% in Q2, with total payers declining 6% YoY to 13.3M, suggesting the product turnaround is losing momentum rather than gaining [1]. AI Deployment (2/2): AI is deployed across the portfolio — Overtone is an entirely AI-driven dating product using voice tools, FaceCheck uses facial recognition for identity verification, 'Are You Sure?' uses AI to detect offensive messages, and CEO Rascoff is hiring 'AI natives' to build AI-first features [2]. AI conversation starters and persona-driven development are embedded in active user experiences. Market Share (1/2): Match Group remains the largest online dating company by revenue (~$3.5B) but continues losing share among Gen Z users to alternatives including TikTok DMs, AI companion apps, and organic social connections [2]. Total payers declined 6% YoY in Q2, indicating share erosion. Product Pipeline (1/2): Overtone AI launch, Tinder product refresh, web payment initiatives, and Hinge international expansion provide near-term catalysts, but no single product has demonstrated ability to reverse the Gen Z disengagement trend [1][2]. R&amp;D Intensity (0/1): No evidence of above-average R&amp;D spending; the 2025 workforce reduction of 13% and COO elimination suggest cost optimization over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Match Group's purpose of helping people make meaningful connections is genuine and specific, but credibility is damaged by the January 2026 ShinyHunters data breach exposing 10M+ user records and the FTC enforcement action against OkCupid for misleading users about data practices [3][4]. The gap between stated mission and user protection outcomes undermines trust. Community Impact (0/2): The data breach and FTC enforcement demonstrate fundamental failures in user data protection despite published safety features like FaceCheck [3][4]. Class action lawsuits alleging failure to protect user information, combined with prior sexual assault litigation, constitute negative community impact. Employee Retention (1/2): The Tinder internship program attracted 30,000 applications for 27 spots, indicating employer brand strength [2]. However, significant leadership churn — Hinge CEO McLeod departing to lead Overtone, COO eliminated, CTO departed, Tinder CEO transitions — creates organizational instability that offsets cultural positives. Insider Buying (0/2): No evidence of meaningful open-market insider purchases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Growth-weighted metrics. D/E and ROE are excluded (null) due to negative stockholders' equity from aggressive buybacks, with $3.67B debt against $584M cash [5]. Revenue declined 1.2% YoY, scoring 0.63 (1x weight) [1]. Revenue 5yr CAGR of approximately 4% reflects a maturing business, scoring 0.60 (2x weight). Forward P/E of 9.6 is well below the 20 target (score 1.0), making MTCH one of the cheapest profitable internet companies [5]. Profit margin of 20.2% meets the target (score 1.0) with improving profitability — Q2 net income up 36% YoY [1]. Forward PEG of 0.35 is far below the 1.0 target (score 1.0, 2x weight), reflecting substantial earnings growth expected from margin expansion and cost discipline [5]. Score is somewhat inflated by exclusion of D/E and ROE — the negative equity position means the mechanical calculation cannot capture balance sheet risk. Liquidity floor cleared: ~$140M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Match Group under CEO Spencer Rascoff is attempting an infinite game reset — accepting continued revenue declines to rebuild user engagement for long-term sustainability. However, Q2 2026 results (-1% revenue, payers down 6%) show the strategy has not produced measurable improvements, and Q3 guidance of -2 to -3% suggests continued deterioration. The Overtone AI spinout shows forward thinking, but the company's core dating app model has remained essentially unchanged for over a decade. Data breach and FTC enforcement undermine the user-first narrative. Significant C-suite churn — COO departed, CTO departed, new leadership still stabilizing — erodes organizational trust.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Helping people make meaningful connections is a genuine and enduring cause, and Rascoff's willingness to accept revenue declines while investing in user experience suggests the cause is beginning to shape strategic decisions [1]. However, the January 2026 data breach exposing 10M+ user records and FTC enforcement for misleading data practices severely undermine the credibility of a user-first cause [3][4]. The addictive design lawsuits and prior safety allegations indicate the cause was not consistently lived out.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Rascoff's organizational restructuring and servant leadership philosophy represent genuine culture-building efforts [2]. However, significant leadership churn — Hinge CEO McLeod departing, COO role eliminated then successor departed, CTO stepped down, 13% workforce reduction — creates organizational uncertainty that undermines trust-building [2]. The rapid pace of executive turnover under Rascoff has not stabilized into a clearly defined culture.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Rascoff explicitly acknowledged that Gen Z is fundamentally different and that Match Group must learn from their behaviors rather than force traditional dating paradigms onto them [2]. The recognition that TikTok, AI companions, and organic social connections are reshaping how young people meet — rather than dismissing them as inferior competitors — demonstrates an infinite competitive mindset. The Overtone AI spinout directly responds to learning from the AI companion space.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Match Group has not demonstrated transformative flexibility — the core business model of subscription-based dating apps with swipe mechanics has remained essentially unchanged for over a decade [1][2]. The Overtone spinout and Tinder product refresh represent incremental adaptations rather than fundamental reinvention. The company has not abandoned any profitable business line or revenue model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Rascoff showed courage by accepting revenue declines — Q2 down 1%, Q3 guided down 2-3% — while investing in Tinder's long-term health through UX changes that prioritize user outcomes over short-term monetization [1]. The Overtone spinout represents an investment in potential disruption of the company's own model. However, it remains unclear whether the revenue decline reflects courageous strategic sacrifice or simply a business in secular decline that management cannot arrest.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Match Group at 9.6x forward P/E is one of the cheapest profitable internet companies, generating improving profitability — Q2 2026 net income surged 36% to $171M with EBITDA up 14% to $331M on a 39% EBITDA margin [1]. Forward PEG of 0.35 indicates substantial earnings growth is priced affordably. Hinge continues its growth trajectory at 22% YoY, pursuing $1B revenue by 2027, while Tinder's DAU decline narrowed to -4% (best in 10 quarters), suggesting the product turnaround may be approaching an inflection point [1]. The Overtone AI dating venture positions the company to participate in AI-native social connection [2]. Revenue per payer growth of 6% to $21.13 demonstrates monetization improvement even as payers decline. Free cash flow of $931M on $3.5B revenue provides substantial capital return capacity. At this valuation, stabilization of Tinder user metrics or successful Hinge international expansion would drive meaningful multiple expansion from the currently depressed ~10x versus internet peer averages of 20-25x.</w:t>
      </w:r>
    </w:p>
    <w:p>
      <w:pPr>
        <w:spacing w:after="120"/>
      </w:pPr>
      <w:r>
        <w:rPr>
          <w:rFonts w:ascii="Calibri" w:hAnsi="Calibri"/>
          <w:b w:val="0"/>
          <w:color w:val="3A4A28"/>
          <w:sz w:val="20"/>
        </w:rPr>
        <w:t>The bear case centers on accelerating user erosion and structural risks. Q2 2026 revenue declined 1% YoY to $853M — a reversal from Q1's +4% — and Q3 is guided down 2-3%, suggesting the turnaround is losing momentum [1]. Total payers declined 6% YoY to 13.3M, indicating structural user erosion. The January 2026 data breach (ShinyHunters claiming 10M+ records) and FTC enforcement against OkCupid create material legal liability and reputational damage [3][4]. AI companion chatbots represent a genuine substitution threat for younger users who increasingly form connections with AI rather than human partners. The negative equity position with $3.67B debt provides no financial cushion if the Tinder turnaround fails or legal settlements materialize at scale [5]. Significant C-suite instability — COO departed, CTO departed within months — undermines strategic execution confidence. The Inspire Impact Score of -67 (MISALIGNED) limits faith-based allocation. Q3 guidance of -2 to -3% suggests 2026 may end with negative growth despite Hinge's strength — Tinder's $1.8B+ scale means even modest declines overwhelm Hinge's 22%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Tinder DAU decline narrowing to -4% YoY (best in 10 quarters) — continued improvement toward flat or positive DAUs would validate the product turnaround and trigger meaningful multiple re-rating from the deeply depressed ~10x forward P/E [1]</w:t>
      </w:r>
    </w:p>
    <w:p>
      <w:pPr>
        <w:spacing w:before="40" w:after="40"/>
        <w:ind w:left="283"/>
      </w:pPr>
      <w:r>
        <w:rPr>
          <w:rFonts w:ascii="Calibri" w:hAnsi="Calibri"/>
          <w:b/>
          <w:color w:val="4A6B25"/>
          <w:sz w:val="20"/>
        </w:rPr>
        <w:t xml:space="preserve">2. </w:t>
      </w:r>
      <w:r>
        <w:rPr>
          <w:rFonts w:ascii="Calibri" w:hAnsi="Calibri"/>
          <w:b w:val="0"/>
          <w:color w:val="3A4A28"/>
          <w:sz w:val="20"/>
        </w:rPr>
        <w:t>Hinge international expansion across Europe, Latin America, and India driving 22% revenue growth, with clear visibility toward $1B annual revenue by 2027 as the primary hedge against Tinder weakness [1]</w:t>
      </w:r>
    </w:p>
    <w:p>
      <w:pPr>
        <w:spacing w:before="40" w:after="40"/>
        <w:ind w:left="283"/>
      </w:pPr>
      <w:r>
        <w:rPr>
          <w:rFonts w:ascii="Calibri" w:hAnsi="Calibri"/>
          <w:b/>
          <w:color w:val="4A6B25"/>
          <w:sz w:val="20"/>
        </w:rPr>
        <w:t xml:space="preserve">3. </w:t>
      </w:r>
      <w:r>
        <w:rPr>
          <w:rFonts w:ascii="Calibri" w:hAnsi="Calibri"/>
          <w:b w:val="0"/>
          <w:color w:val="3A4A28"/>
          <w:sz w:val="20"/>
        </w:rPr>
        <w:t>Forward PEG of 0.35 and $931M free cash flow indicate substantial margin expansion and earnings growth potential — EBITDA margin of 39% with net income up 36% demonstrates cost discipline translating to bottom-line improvement even amid revenue softness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trajectory worsening: from +4% in Q1 to -1% in Q2 to guided -2 to -3% in Q3, suggesting the Tinder turnaround under Rascoff is not gaining traction and Gen Z disengagement from traditional dating apps may be structural [1][2]</w:t>
      </w:r>
    </w:p>
    <w:p>
      <w:pPr>
        <w:spacing w:before="40" w:after="40"/>
        <w:ind w:left="283"/>
      </w:pPr>
      <w:r>
        <w:rPr>
          <w:rFonts w:ascii="Calibri" w:hAnsi="Calibri"/>
          <w:b/>
          <w:color w:val="4A6B25"/>
          <w:sz w:val="20"/>
        </w:rPr>
        <w:t xml:space="preserve">2. </w:t>
      </w:r>
      <w:r>
        <w:rPr>
          <w:rFonts w:ascii="Calibri" w:hAnsi="Calibri"/>
          <w:b w:val="0"/>
          <w:color w:val="3A4A28"/>
          <w:sz w:val="20"/>
        </w:rPr>
        <w:t>Data security and regulatory liability from the January 2026 ShinyHunters breach (10M+ records) and FTC enforcement against OkCupid for misleading data practices, creating material class action risk on a balance sheet with negative equity and $3.67B debt [3][4]</w:t>
      </w:r>
    </w:p>
    <w:p>
      <w:pPr>
        <w:spacing w:before="40" w:after="40"/>
        <w:ind w:left="283"/>
      </w:pPr>
      <w:r>
        <w:rPr>
          <w:rFonts w:ascii="Calibri" w:hAnsi="Calibri"/>
          <w:b/>
          <w:color w:val="4A6B25"/>
          <w:sz w:val="20"/>
        </w:rPr>
        <w:t xml:space="preserve">3. </w:t>
      </w:r>
      <w:r>
        <w:rPr>
          <w:rFonts w:ascii="Calibri" w:hAnsi="Calibri"/>
          <w:b w:val="0"/>
          <w:color w:val="3A4A28"/>
          <w:sz w:val="20"/>
        </w:rPr>
        <w:t>AI companion substitution risk accelerating as Character.ai, Replika, and new AI dating products emerge — total payer decline of 6% YoY may partly reflect secular migration from human dating to AI relationships among the Gen Z demographic critical to future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Online dating faces meaningful AI disruption risk — AI companion chatbots (Character.ai, Replika) are emerging as substitutes for human connection, particularly among Gen Z users already abandoning traditional dating apps [2]. Q2 2026 total payers declined 6% YoY to 13.3M, partly reflecting secular migration away from traditional dating mechanics. AI-powered social features embedded in platforms like TikTok and Instagram threaten to subsume dating functionality. However, the core value proposition of connecting real humans for in-person relationships retains defensibility that AI companions cannot fully replicate — dating apps ultimately facilitate physical meetups. AI Opportunity (1/1): Match Group is actively deploying AI across its portfolio — the Overtone spinout under Justin McLeod is an AI-native dating product, FaceCheck uses facial recognition, AI moderation processes communications at scale, and Rascoff is hiring AI-first talent [2]. These represent genuine AI value contribution through improved safety, monetization, and new product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Match Group Q2 2026 Earnings — Revenue $853M (-1% YoY), Net Income $171M (+36%), EBITDA $331M (+14%, 39% margin), Tinder $457M (-1%), Hinge +22%, Payers 13.3M (-6%), RPP $21.13 (+6%), Q3 Guidance $885-895M (-2 to -3%), FY2026 Guidance $3.41-$3.54B, August 2026</w:t>
      </w:r>
    </w:p>
    <w:p>
      <w:pPr>
        <w:spacing w:before="20" w:after="20"/>
        <w:ind w:left="170"/>
      </w:pPr>
      <w:r>
        <w:rPr>
          <w:rFonts w:ascii="Calibri" w:hAnsi="Calibri"/>
          <w:b/>
          <w:color w:val="4A6B25"/>
          <w:sz w:val="15"/>
        </w:rPr>
        <w:t xml:space="preserve">2. </w:t>
      </w:r>
      <w:r>
        <w:rPr>
          <w:rFonts w:ascii="Calibri" w:hAnsi="Calibri"/>
          <w:b w:val="0"/>
          <w:color w:val="3A4A28"/>
          <w:sz w:val="17"/>
        </w:rPr>
        <w:t>Match Group Strategy and AI — CEO Spencer Rascoff, Overtone AI Spinout (Justin McLeod), CTO/COO Departures, AI Personas, 13% Workforce Reduction, Gen Z Strategy — TechCrunch, Semafor, DatingNews, Barchart, 2025-2026</w:t>
      </w:r>
    </w:p>
    <w:p>
      <w:pPr>
        <w:spacing w:before="20" w:after="20"/>
        <w:ind w:left="170"/>
      </w:pPr>
      <w:r>
        <w:rPr>
          <w:rFonts w:ascii="Calibri" w:hAnsi="Calibri"/>
          <w:b/>
          <w:color w:val="4A6B25"/>
          <w:sz w:val="15"/>
        </w:rPr>
        <w:t xml:space="preserve">3. </w:t>
      </w:r>
      <w:r>
        <w:rPr>
          <w:rFonts w:ascii="Calibri" w:hAnsi="Calibri"/>
          <w:b w:val="0"/>
          <w:color w:val="3A4A28"/>
          <w:sz w:val="17"/>
        </w:rPr>
        <w:t>Match Group Data Breach — ShinyHunters Claimed 10M+ Records January 2026, Class Action Lawsuit, FTC Enforcement Against OkCupid for Misleading Data Practices — MarketScreener, SEC Filings, 2026</w:t>
      </w:r>
    </w:p>
    <w:p>
      <w:pPr>
        <w:spacing w:before="20" w:after="20"/>
        <w:ind w:left="170"/>
      </w:pPr>
      <w:r>
        <w:rPr>
          <w:rFonts w:ascii="Calibri" w:hAnsi="Calibri"/>
          <w:b/>
          <w:color w:val="4A6B25"/>
          <w:sz w:val="15"/>
        </w:rPr>
        <w:t xml:space="preserve">4. </w:t>
      </w:r>
      <w:r>
        <w:rPr>
          <w:rFonts w:ascii="Calibri" w:hAnsi="Calibri"/>
          <w:b w:val="0"/>
          <w:color w:val="3A4A28"/>
          <w:sz w:val="17"/>
        </w:rPr>
        <w:t>Match Group Safety and ESG Controversies — Dating Apps Reporting Project (The Guardian), Delaware Shareholder Lawsuit for Safety Records, Sexual Assault Allegations, Sustainalytics ESG Risk Score 16.7 Low — Pulitzer Center, GlobalDatingInsights,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MTCH Key Statistics: Stock Price $44.10, Forward P/E 9.63, PEG 0.35, Profit Margin 20.2%, Negative Equity, $3.67B Debt, $584M Cash, $931M FCF, Avg Volume 3.2M,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