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MUFG</w:t>
      </w:r>
      <w:r>
        <w:rPr>
          <w:rFonts w:ascii="Calibri" w:hAnsi="Calibri"/>
          <w:b/>
          <w:color w:val="1A2010"/>
          <w:sz w:val="40"/>
        </w:rPr>
        <w:t xml:space="preserve">  Mitsubishi UFJ Financial Group, Inc.</w:t>
      </w:r>
    </w:p>
    <w:p>
      <w:pPr>
        <w:spacing w:after="120"/>
      </w:pPr>
      <w:r>
        <w:rPr>
          <w:rFonts w:ascii="Calibri" w:hAnsi="Calibri"/>
          <w:b/>
          <w:color w:val="6E8450"/>
          <w:sz w:val="18"/>
        </w:rPr>
        <w:t>DIVIDEND SLEEVE · 2026-09-01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Japan</w:t>
      </w:r>
    </w:p>
    <w:p>
      <w:pPr>
        <w:spacing w:after="80"/>
      </w:pPr>
      <w:r>
        <w:rPr>
          <w:rFonts w:ascii="Calibri" w:hAnsi="Calibri"/>
          <w:b w:val="0"/>
          <w:color w:val="3A4A28"/>
          <w:sz w:val="20"/>
        </w:rPr>
        <w:t>Mitsubishi UFJ Financial Group is Japan's largest financial group and one of the world's largest banks by total assets (~$3 trillion), operating across commercial banking, trust banking, securities, asset management, and investor services in over 50 countries. Founded in 1880 with roots tracing to 17th century Mitsui banking, the group serves retail, corporate, and institutional clients through seven business segments. MUFG trades on the NYSE as an ADR.</w:t>
      </w:r>
    </w:p>
    <w:p>
      <w:r>
        <w:rPr>
          <w:rFonts w:ascii="Calibri" w:hAnsi="Calibri"/>
          <w:b/>
          <w:color w:val="6E8450"/>
          <w:sz w:val="18"/>
        </w:rPr>
        <w:t>150,800 Employees · https://www.mufg.jp/english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CEO Hironori Kamezawa, named Global CEO of the Year by The Asian Banker, has led a fundamental transformation since 2020 toward a more return-focused and globally integrated institution, delivering three consecutive record-high net income years culminating in ¥2,427.2B ($16.7B) in FY2026 [1][2]. This strategic repositioning opened new revenue streams in global CIB and wealth management. AI Deployment (1/2): MUFG has pursued an explicit 'AI-native' transformation with partnerships including Sakana AI and OpenAI, and appointed Prasad Uddaraju as first Chief Data &amp; Artificial Intelligence Officer in June 2026 [2]. However, no specific AI-driven revenue gains or quantified cost savings have been publicly disclosed despite the organizational commitment. Market Share (1/2): MUFG is Japan's largest bank by assets and a top-10 global financial institution, but faces intense competition from JPMorgan, HSBC, and domestic rivals Mizuho and SMFG without demonstrating specific share gains in key markets [1]. Product Pipeline (1/2): FY2027 net income target of ¥2.7 trillion (10%+ growth from record base) with medium-term ROE target of ~12% and AI-native transformation roadmap provide some forward visibility [1]. R&amp;D Intensity (1/1): Significant technology investment including Sakana AI and OpenAI partnerships, Databricks platform migration, and CDAIO appointment positions MUFG above peers in banking AI adoption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MUFG's purpose — 'Committed to empowering a brighter future' — is clear and service-oriented but not distinctive enough to differentiate from peer bank mission statements [3]. It identifies beneficiaries and aspiration but lacks the specificity to drive unique strategic decisions. The 360+ year institutional history provides remarkable longevity context, but the current purpose statement doesn't capture that heritage. Community Impact (1/2): MUFG maintains an ESG policy framework with commitments to environmental protection and human rights, adopted the Equator Principles in 2005 for large-scale project due diligence, and appointed its first Asia Pacific ESG finance head [3]. However, the Rainforest Action Network has criticized MUFG for lagging peers in environmental finance policies, particularly regarding fossil fuel and deforestation financing [3]. Employee Retention (1/2): Kamezawa has championed cultural transformation fostering 'challenge, agility, accountability and empowered decision-making' across the 150,800-person organization [2]. The Japanese corporate culture generally supports long tenure, though reviews flag slow decision-making and heavy bureaucracy typical of megabanks. Insider Buying (0/2): No evidence of meaningful net insider buying by executives. MUFG conducts share buybacks as corporate policy but this is treasury action, not personal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Q1 FY2027 (ended June 2026) delivered ¥809.4B net profit (+48.2% YoY) on ordinary income of ¥3.91T (+20.1%), with ordinary profits surging 57.8% to ¥1.12T, maintaining the record-breaking trajectory established in FY2026 [1]. Forward P/E of 13.32 is well below the 20 target, reflecting attractive valuation for a global systemically important bank. D/E of 364% scores 0 on this metric but is structurally inherent to banking — MUFG's capital ratios meet Basel III requirements. Profit margin of approximately 18% is strong for a diversified bank. ROE is approaching the ~12% medium-term target. Dividend profile is solid: ~2.3% yield with ~35% payout ratio, 20+ consecutive years of payment, and approximately 15% 5yr dividend growth CAGR reflecting Japan's corporate governance reform push [4]. FY2027 target of ¥2.7T net income (10%+ growth from record FY2026 base of ¥2,427.2B) provides strong earnings visibility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MUFG exhibits mixed infinite game characteristics — a 360+ year institutional history demonstrates extraordinary durability unmatched by almost any financial institution globally, but the consensus-driven Japanese corporate culture and focus on incremental improvement over transformative change reflect a preference for stability over bold cause-driven leadership. Kamezawa's AI-native transformation push and record-breaking profit trajectory show willingness to evolve, while the institutional DNA favors long-horizon thinking over quarterly optimization.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MUFG's purpose of 'empowering a brighter future' is supported by 360+ years of continuous operation — from Mitsui banking in the 1600s through world wars, the 1998 banking crisis, and the 2008 financial crisis, few institutions have demonstrated this level of endurance [3]. However, the cause reads more as institutional permanence than a bold vision of a future state that doesn't yet exist. The purpose lacks the specificity to drive transformative decisions and is interchangeable with many financial institutions' aspirations.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Kamezawa has championed cultural transformation fostering 'greater challenge, agility, accountability and empowered decision-making' and renewed leadership across key businesses [2]. Japanese corporate culture emphasizes consensus and job security, which creates a form of psychological safety. However, the 150,800-person organization operates with hierarchical decision-making that constrains individual empowerment, and no specific employee satisfaction data confirms exceptional trust levels.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MUFG's partnerships with OpenAI, Sakana AI, and its collaborative approach to AI transformation demonstrate a learning-oriented competitive mindset — rather than building all capabilities in-house, MUFG acknowledges where others have superior capabilities and partners to improve [2]. Management commentary focuses on reaching internal ROE and profit targets rather than 'beating' Mizuho or SMFG.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MUFG has evolved from a domestic Japanese bank to a global financial conglomerate through the 2005 MTFG-UFJ merger, subsequent international acquisitions, and Kamezawa's transformation toward return-focused global integration [1]. The current AI-native transformation represents meaningful strategic adaptation. However, the core business model of commercial banking, trust services, and securities has remained fundamentally unchanged — this is continuous improvement,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Kamezawa has invested aggressively in AI transformation through multiple partnerships and created a new CDAIO role while simultaneously delivering record profits, balancing long-term capability building with near-term performance [1][2]. The FY2027 target of ¥2.7T (10%+ growth from record) sets ambitious expectations. However, these investments are funded from record earnings and carry limited relative risk for a $3 trillion-asset institution.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MUFG's momentum continues to accelerate: Q1 FY2027 (ended June 2026) delivered ¥809.4B net profit (+48.2% YoY) with ordinary profits surging 57.8% to ¥1.12T, building on the FY2026 record of ¥2,427.2B [1]. Net interest income surged 28% YoY in Q1 as BOJ rate normalization expands margins after decades of near-zero rates. At 13.3x forward P/E with ~2.3% dividend yield and 35% payout ratio, the stock is attractively valued for a global systemically important bank approaching 12% ROE — the FY2027 target of ¥2.7T net income provides 10%+ earnings visibility [4]. CEO Kamezawa — named Global CEO of the Year — has driven fundamental transformation, while the AI-native strategy through OpenAI, Sakana AI partnerships, and newly appointed CDAIO Prasad Uddaraju positions MUFG for operational efficiency gains [2]. The stock is up 75% over the past 52 weeks, reflecting the market's repricing of Japanese banking after BOJ rate normalization.</w:t>
      </w:r>
    </w:p>
    <w:p>
      <w:pPr>
        <w:spacing w:after="120"/>
      </w:pPr>
      <w:r>
        <w:rPr>
          <w:rFonts w:ascii="Calibri" w:hAnsi="Calibri"/>
          <w:b w:val="0"/>
          <w:color w:val="3A4A28"/>
          <w:sz w:val="20"/>
        </w:rPr>
        <w:t>The bear case centers on cyclical and valuation risks after a 75% run-up. D/E of 364% — structurally inherent to banking but scoring 0 on the Infrastructure metric — highlights vulnerability to credit deterioration in a slowing global economy. ROE approaching 12% still trails global peers like JPMorgan (17%+) due to Japan's conservative capital management [4]. The Q1 FY2027 profit surge of 48% reflects favorable rate and currency conditions that may not persist — a BOJ policy reversal or slower-than-expected rate normalization would flatten the earnings trajectory. The Rainforest Action Network has criticized MUFG for lagging behind domestic peers Mizuho and SMBC in environmental finance policies, particularly regarding fossil fuel and deforestation-linked financing [3]. Japan's aging demographics create a structurally shrinking domestic loan market, and yen appreciation against USD would directly compress ADR-denominated earnings for US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net income target of ¥2.7 trillion represents 10%+ growth from the record FY2026 base, with continued BOJ rate normalization expanding net interest margins and supporting the medium-term ROE target of ~12% [1]</w:t>
      </w:r>
    </w:p>
    <w:p>
      <w:pPr>
        <w:spacing w:before="40" w:after="40"/>
        <w:ind w:left="283"/>
      </w:pPr>
      <w:r>
        <w:rPr>
          <w:rFonts w:ascii="Calibri" w:hAnsi="Calibri"/>
          <w:b/>
          <w:color w:val="4A6B25"/>
          <w:sz w:val="20"/>
        </w:rPr>
        <w:t xml:space="preserve">2. </w:t>
      </w:r>
      <w:r>
        <w:rPr>
          <w:rFonts w:ascii="Calibri" w:hAnsi="Calibri"/>
          <w:b w:val="0"/>
          <w:color w:val="3A4A28"/>
          <w:sz w:val="20"/>
        </w:rPr>
        <w:t>AI-native transformation through Sakana AI and OpenAI partnerships, plus newly appointed CDAIO Prasad Uddaraju, driving operational efficiency and competitive positioning in digital banking [2]</w:t>
      </w:r>
    </w:p>
    <w:p>
      <w:pPr>
        <w:spacing w:before="40" w:after="40"/>
        <w:ind w:left="283"/>
      </w:pPr>
      <w:r>
        <w:rPr>
          <w:rFonts w:ascii="Calibri" w:hAnsi="Calibri"/>
          <w:b/>
          <w:color w:val="4A6B25"/>
          <w:sz w:val="20"/>
        </w:rPr>
        <w:t xml:space="preserve">3. </w:t>
      </w:r>
      <w:r>
        <w:rPr>
          <w:rFonts w:ascii="Calibri" w:hAnsi="Calibri"/>
          <w:b w:val="0"/>
          <w:color w:val="3A4A28"/>
          <w:sz w:val="20"/>
        </w:rPr>
        <w:t>Japanese corporate governance reform accelerating shareholder returns — 15% 5yr dividend growth CAGR with only 35% payout ratio leaves substantial headroom for dividend increases and buybacks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BOJ policy reversal or slower-than-expected interest rate normalization would compress the net interest margin expansion that underpins MUFG's record profit trajectory and ¥2.7T FY2027 target [1]</w:t>
      </w:r>
    </w:p>
    <w:p>
      <w:pPr>
        <w:spacing w:before="40" w:after="40"/>
        <w:ind w:left="283"/>
      </w:pPr>
      <w:r>
        <w:rPr>
          <w:rFonts w:ascii="Calibri" w:hAnsi="Calibri"/>
          <w:b/>
          <w:color w:val="4A6B25"/>
          <w:sz w:val="20"/>
        </w:rPr>
        <w:t xml:space="preserve">2. </w:t>
      </w:r>
      <w:r>
        <w:rPr>
          <w:rFonts w:ascii="Calibri" w:hAnsi="Calibri"/>
          <w:b w:val="0"/>
          <w:color w:val="3A4A28"/>
          <w:sz w:val="20"/>
        </w:rPr>
        <w:t>Global credit cycle deterioration — MUFG's $3 trillion balance sheet with D/E of 364% faces elevated default risk from corporate lending, leveraged finance, and emerging market exposure in a slowing global economy</w:t>
      </w:r>
    </w:p>
    <w:p>
      <w:pPr>
        <w:spacing w:before="40" w:after="40"/>
        <w:ind w:left="283"/>
      </w:pPr>
      <w:r>
        <w:rPr>
          <w:rFonts w:ascii="Calibri" w:hAnsi="Calibri"/>
          <w:b/>
          <w:color w:val="4A6B25"/>
          <w:sz w:val="20"/>
        </w:rPr>
        <w:t xml:space="preserve">3. </w:t>
      </w:r>
      <w:r>
        <w:rPr>
          <w:rFonts w:ascii="Calibri" w:hAnsi="Calibri"/>
          <w:b w:val="0"/>
          <w:color w:val="3A4A28"/>
          <w:sz w:val="20"/>
        </w:rPr>
        <w:t>Yen appreciation against USD would reduce the value of MUFG's substantial international operations when translated back to yen, directly compressing ADR-denominated earnings for US investors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MUFG's core business — commercial lending, project finance, trade finance, and trust banking — relies on deeply regulated processes, long-standing institutional client relationships, and physical infrastructure that AI cannot easily displace [2]. Banking licenses across 50+ countries, Basel III capital requirements, and central bank oversight create structural moats unreachable by AI-native fintech competitors. However, CEO Kamezawa has acknowledged that generative AI has 'the potential to significantly transform business models in the banking and financial sectors,' and portions of the business including retail banking, advisory, and back-office operations face moderate AI substitution risk as fintech competitors deploy AI-powered lending and wealth management [2]. AI Opportunity (1/1): MUFG is actively deploying AI across customer-facing risk assessment, fraud detection, and client service operations through its OpenAI partnership, Sakana AI collaboration, and newly appointed CDAIO, with the 'AI-native' transformation mandate representing organizational commitment to generating value from AI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MUFG FY2026 Full-Year Results and Q1 FY2027 Results — record net income ¥2,427.2B, Q1 FY2027 ¥809.4B (+48.2%), FY2027 target ¥2.7T, Investing.com and SEC filings, May-August 2026</w:t>
      </w:r>
    </w:p>
    <w:p>
      <w:pPr>
        <w:spacing w:before="20" w:after="20"/>
        <w:ind w:left="170"/>
      </w:pPr>
      <w:r>
        <w:rPr>
          <w:rFonts w:ascii="Calibri" w:hAnsi="Calibri"/>
          <w:b/>
          <w:color w:val="4A6B25"/>
          <w:sz w:val="15"/>
        </w:rPr>
        <w:t xml:space="preserve">2. </w:t>
      </w:r>
      <w:r>
        <w:rPr>
          <w:rFonts w:ascii="Calibri" w:hAnsi="Calibri"/>
          <w:b w:val="0"/>
          <w:color w:val="3A4A28"/>
          <w:sz w:val="17"/>
        </w:rPr>
        <w:t>MUFG AI Strategy — Sakana AI multiyear partnership, OpenAI collaboration, CDAIO Prasad Uddaraju appointment June 2026; CEO Kamezawa named Global CEO of the Year, The Asian Banker 2026</w:t>
      </w:r>
    </w:p>
    <w:p>
      <w:pPr>
        <w:spacing w:before="20" w:after="20"/>
        <w:ind w:left="170"/>
      </w:pPr>
      <w:r>
        <w:rPr>
          <w:rFonts w:ascii="Calibri" w:hAnsi="Calibri"/>
          <w:b/>
          <w:color w:val="4A6B25"/>
          <w:sz w:val="15"/>
        </w:rPr>
        <w:t xml:space="preserve">3. </w:t>
      </w:r>
      <w:r>
        <w:rPr>
          <w:rFonts w:ascii="Calibri" w:hAnsi="Calibri"/>
          <w:b w:val="0"/>
          <w:color w:val="3A4A28"/>
          <w:sz w:val="17"/>
        </w:rPr>
        <w:t>MUFG Sustainability and ESG Policy — Equator Principles adoption, Rainforest Action Network criticism on fossil fuel financing, sustainability commitments,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MUFG Key Statistics — StockAnalysis.com, GuruFocus,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