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MU</w:t>
      </w:r>
      <w:r>
        <w:rPr>
          <w:rFonts w:ascii="Calibri" w:hAnsi="Calibri"/>
          <w:b/>
          <w:color w:val="1A2010"/>
          <w:sz w:val="40"/>
        </w:rPr>
        <w:t xml:space="preserve">  Micron Technology,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-49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8F5E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6A34A"/>
                <w:sz w:val="20"/>
              </w:rPr>
              <w:t>BUY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83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Semiconductors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Micron designs and manufactures DRAM, NAND and high-bandwidth memory (HBM) for data center, mobile, PC and automotive markets, headquartered in Boise, Idaho. FY2026 revenue reached $133.2B (up 256%) with Q4 revenue of $54.2B (+379% YoY) and data-center revenue up 11-fold [1].</w:t>
      </w:r>
    </w:p>
    <w:p>
      <w:r>
        <w:rPr>
          <w:rFonts w:ascii="Calibri" w:hAnsi="Calibri"/>
          <w:b/>
          <w:color w:val="6E8450"/>
          <w:sz w:val="18"/>
        </w:rPr>
        <w:t>48,000 Employees · https://www.micron.com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Micron exited consumer RAM (Crucial) to redirect capacity to HBM and AI server memory, producing FY2026 revenue of $133.2B versus $37.4B in FY2025 [1][2]. AI Deployment (2/2): HBM and data-center DRAM ship to AI customers, with data-center revenue up 11x [2]. Market Share (2/2): one of three global DRAM/HBM leaders with record share in AI memory. Product Pipeline (2/2): fiscal Q1 revenue guided to ~$61.5B with expanded capacity and supply tightness expected through FY2027-28 [1]. R&amp;D Intensity (0/1): R&amp;D as a percent of revenue has fallen sharply relative to the revenue surge, below the sector's top quartile.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'transform how the world uses information to enrich life for all' is specific and tied to decades of memory leadership. Community Impact (1/2): Micron Foundation programs and community investment, without dollar-specific figures located. Employee Retention (1/2): 81% say it is a great place to work, but reviews cite rigid culture and abrupt role eliminations after long tenure [3]. Insider Buying (0/2): no net insider buying evidence found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(yield well under 2%; 5yr CAGR and PEG unavailable and excluded). D/E of 3.7% (1.0), ROE of 88.3% (1.0, 2x weight), revenue growth of 379% (1.0), forward P/E of 5.2 (1.0) and 63.8% profit margin (1.0) all meet or exceed targets, for 6.0/6 and a score of 10 [1]. Dollar volume of ~$36B gives maximum liquidity.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Micron's decades of memory leadership and willingness to exit consumer products (Crucial) to serve AI customers show real existential flexibility and courage. Its cyclical, capacity-driven business and mixed employee feedback keep it short of a pure infinite-game example.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enriching life through information is a genuine, distinctive cause lived across memory cycles, though less tested as a cause than as an engineering franchise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Sanjay Mehrotra has held the role since 2017 with 90%+ Glassdoor approval, but reviews report a rigid culture and layoffs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competitive language centres on technology and share leadership against SK hynix and Samsung with no learn-from-rivals framing.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reinvention from commodity PC DRAM to AI-centric HBM and the Crucial exit abandoned a profitable consumer brand to serve the data center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exiting the consumer Crucial business and committing massive capex to HBM capacity, a pattern repeated through past downturns, trades near-term revenue for long-term capability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Micron at $1,074.89 trades at only 5.2x forward earnings after FY2026 revenue of $133.2B (+256%), Q4 revenue of $54.2B (+379%), adjusted FY EPS of $75.52 (+811%), a 63.8% profit margin and 88% ROE with D/E of 3.7% [1]. Q1 FY2027 guidance of ~$61.5B revenue and EPS of $38.15, a $32B customer-commitment backlog, and RPO of ~$150B under long-term supply agreements give unusual visibility [1][2].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Memory is historically boom-bust: a slowdown in AI capex or capacity overbuild could compress prices from peak margins, and a 5x forward P/E signals the market already prices cyclical normalisation [2]. Customer concentration, geopolitical exposure to Asian supply chains and worker-rights risks, plus a MISALIGNED faith score (-49, LGBT Activism), are additional concerns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HBM and AI data-center demand driving fiscal Q1 revenue guidance of ~$61.5B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Long-term supply agreements with $32B customer commitments and ~$150B RPO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Supply tightness through FY2027-28 with capacity expansion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Memory cyclicality: an AI capex slowdown or capacity overbuild could reverse record margins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Customer concentration and rapidly evolving AI architectures changing memory requirements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Geopolitical and supply-chain labor risks in Asia plus rigid-culture talent risk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(9/9): Micron is AI infrastructure; HBM and DRAM demand rises with AI adoption and analysts see memory shortages, not substitution, with supply tight through FY2028 [1][2]. The risk is cyclical capex overbuild, not AI disruption. AI Opportunity (1/1): data-center revenue up 11x with FY2026 revenue of $133.2B and RPO of ~$150B tied to AI memory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Micron Q4 FY2026 Earnings — CNBC, SEC Form 8-K, Idaho Business Review, September-October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Micron AI memory outlook and analyst commentary — Benzinga, Seeking Alpha, FinancialContent,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Micron ESG and Glassdoor/Built In culture — Sustainalytics, Yahoo Finance, Glassdoor,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