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MXCT</w:t>
      </w:r>
      <w:r>
        <w:rPr>
          <w:rFonts w:ascii="Calibri" w:hAnsi="Calibri"/>
          <w:b/>
          <w:color w:val="1A2010"/>
          <w:sz w:val="40"/>
        </w:rPr>
        <w:t xml:space="preserve">  MaxCyte, Inc.</w:t>
      </w:r>
    </w:p>
    <w:p>
      <w:pPr>
        <w:spacing w:after="120"/>
      </w:pPr>
      <w:r>
        <w:rPr>
          <w:rFonts w:ascii="Calibri" w:hAnsi="Calibri"/>
          <w:b/>
          <w:color w:val="6E8450"/>
          <w:sz w:val="18"/>
        </w:rPr>
        <w:t>GROWTH SLEEVE · 2026-09-30 · Inspire: 48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37</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Healthcare · Medical Instruments &amp; Supplies · NASDAQ · United States</w:t>
      </w:r>
    </w:p>
    <w:p>
      <w:pPr>
        <w:spacing w:after="80"/>
      </w:pPr>
      <w:r>
        <w:rPr>
          <w:rFonts w:ascii="Calibri" w:hAnsi="Calibri"/>
          <w:b w:val="0"/>
          <w:color w:val="3A4A28"/>
          <w:sz w:val="20"/>
        </w:rPr>
        <w:t>MaxCyte is a cell engineering company that provides Flow Electroporation technology and instruments enabling researchers and biopharmaceutical companies to transfect cells for drug discovery, development, and manufacturing of cell-based therapies including CAR-T, gene editing, and other advanced cell therapies. The company's ExPERT platform is used by over 150 cell therapy developers worldwide, and its Flow Electroporation technology was instrumental in developing CASGEVY, the first FDA-approved non-viral cell therapy. MaxCyte also offers SeQure DX gene editing services and Strategic Platform License (SPL) agreements. Q2 2026 revenue was $7.3M (-15% YoY) with FY2026 guidance of $30-32M. Headquartered in Gaithersburg, Maryland.</w:t>
      </w:r>
    </w:p>
    <w:p>
      <w:r>
        <w:rPr>
          <w:rFonts w:ascii="Calibri" w:hAnsi="Calibri"/>
          <w:b/>
          <w:color w:val="6E8450"/>
          <w:sz w:val="18"/>
        </w:rPr>
        <w:t>200 Employees · https://www.maxcyte.com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MaxCyte's Flow Electroporation technology was instrumental in developing CASGEVY (Vertex/CRISPR Therapeutics), the first FDA-approved non-viral cell therapy — a landmark achievement validating the platform's clinical utility [1][3]. The company also launched SeQure DX gene editing services, expanding from hardware into services. However, revenue declined 15% in Q2 2026 to $7.3M with H1 2026 total revenue of $16.9M (down 10% YoY), indicating commercial momentum has not followed the technology validation [1]. AI Deployment (0/2): No evidence of AI-powered products or quantified AI-driven savings. The company's value proposition is biological/physical, not computational [3]. Market Share (1/2): MaxCyte holds a meaningful position in the cell electroporation niche with 150+ biopharma customer relationships and proprietary Flow Electroporation technology, but faces competition from Lonza, Thermo Fisher, and other cell therapy infrastructure providers [3]. Pipeline (1/2): SeQure DX services expansion and SPL milestones expected in H2 2026. Established a Scientific Advisory Board of globally recognized cell engineering experts to guide development priorities [3]. FY2026 guidance assumes return to low single-digit YoY growth in H2 [1]. R&amp;D Intensity (1/1): As a biotech platform company with deeply negative operating margins, MaxCyte's R&amp;D spending significantly exceeds industry average relative to revenue, reflecting heavy investment in platform capabilities [4].</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MaxCyte's purpose centers on enabling cell engineering to advance life-saving cell therapies — a genuine healthcare mission connecting the company's technology to potentially curative treatments for cancer, sickle cell disease, and genetic disorders [3]. The mission is clear but not distinctively articulated compared to other cell therapy infrastructure companies. Community Impact (0/2): No evidence of significant charitable giving, foundation, or community investment programs was identified beyond the inherent healthcare value of enabling cell therapies. Employee Retention (0/2): Glassdoor reviews reveal concerning cultural deterioration — one review states 'terrible leadership post 2024, ruined the culture' and another cites 'too many restructuring rounds in the last 2 years' with uncertainty about what the culture is now [2]. CEO Maher Masoud was appointed January 2024 and leadership instability has impacted the organization. Insider Buying (0/2): The company announced a $10M share repurchase program, but this is a corporate buyback, not executive insider buying. No evidence of meaningful personal insider purchases by CEO or management was identified [1].</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
            <w:shd w:fill="DC2626" w:val="clear"/>
          </w:tcPr>
          <w:p>
            <w:pPr>
              <w:spacing w:before="0" w:after="0"/>
            </w:pPr>
            <w:r>
              <w:rPr>
                <w:rFonts w:ascii="Calibri" w:hAnsi="Calibri"/>
                <w:b w:val="0"/>
                <w:color w:val="1A2010"/>
                <w:sz w:val="4"/>
              </w:rPr>
            </w:r>
          </w:p>
        </w:tc>
        <w:tc>
          <w:tcPr>
            <w:tcW w:type="dxa" w:w="545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LIQUIDITY FLOOR TRIGGERED: Average daily volume of 731,884 shares at stock price of $1.18 yields daily dollar volume of approximately $863,600, below the $1,000,000 liquidity threshold required for IOWN tradability [4]. Volume has increased significantly from ~31K at the previous screen but remains insufficient. Infrastructure score is automatically set to 0 regardless of underlying metrics. For reference, the balance sheet is clean with D/E of 10.87% and substantial cash reserves (previously reported at $103M against $17.9M debt), but operations are deeply unprofitable with ROE of -20.4%, profit margin of -114.8%, and revenue declining 14.5% YoY [4]. FY2026 guidance of $30-32M implies continued contraction from FY2025's $33M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3</w:t>
      </w:r>
      <w:r>
        <w:rPr>
          <w:rFonts w:ascii="Calibri" w:hAnsi="Calibri"/>
          <w:b w:val="0"/>
          <w:color w:val="9DAF88"/>
          <w:sz w:val="18"/>
        </w:rPr>
        <w:t xml:space="preserve"> /10</w:t>
      </w:r>
    </w:p>
    <w:p>
      <w:pPr>
        <w:spacing w:after="120"/>
      </w:pPr>
      <w:r>
        <w:rPr>
          <w:rFonts w:ascii="Calibri" w:hAnsi="Calibri"/>
          <w:b w:val="0"/>
          <w:color w:val="3A4A28"/>
          <w:sz w:val="18"/>
        </w:rPr>
        <w:t>MaxCyte operates in a purpose-rich space — enabling life-saving cell therapies — but as a small, struggling biotech with declining revenue, leadership instability, and cultural deterioration, it demonstrates finite game characteristics. The company's Just Cause is genuine (advancing cell engineering to cure disease) but its ability to execute is questioned by falling revenue, -115% margins, and Glassdoor reviews citing 'terrible leadership post 2024' and 'too many restructuring rounds.' CEO Masoud has been in the role since January 2024 and has not yet stabilized the organization.</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MaxCyte's purpose of enabling cell engineering to advance cell therapies connects directly to a transformative healthcare vision — a future where cancers and genetic diseases are cured through engineered cells [3]. The company's technology was instrumental in creating CASGEVY, the first FDA-approved non-viral cell therapy for sickle cell disease, providing concrete validation that the cause is real [1]. However, the company has not demonstrated multi-decade consistency; it is still pre-profitability after 25 years and faces existential financial challenges.</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Glassdoor reviews reveal concerning organizational deterioration — 'terrible leadership post 2024, ruined the culture' and 'too many restructuring rounds in the last 2 years' with employees noting they're 'not sure what the culture is now' [2]. CEO Masoud was appointed January 2024, and the resulting leadership transition and organizational streamlining have created instability. While some recent reviews cite collaborative colleagues, the pattern of restructuring-induced uncertainty signals a low-trust environment where employees face job insecurity.</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an infinite competitive mindset. MaxCyte's competitive positioning focuses on proprietary advantages of Flow Electroporation versus rival technologies (viral vectors, lipid nanoparticles) rather than learning from competitors' strengths [3]. Investor messaging emphasizes technology superiority and market position rather than collaborative improvement.</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MaxCyte has evolved from a pure instrument sales company to a more integrated cell therapy services platform through the launch of SeQure DX gene editing services and Strategic Platform License (SPL) agreements [1][3]. SPL revenue grew to $0.8M in Q2 2026 from $0.3M prior year, showing services gaining traction. This shift from hardware to services-plus-hardware represents meaningful business model evolution. However, the transformation is incremental rather than transformative — the core electroporation technology remains the foundation.</w:t>
      </w:r>
    </w:p>
    <w:p>
      <w:pPr>
        <w:spacing w:before="200" w:after="40"/>
      </w:pPr>
      <w:r>
        <w:rPr>
          <w:rFonts w:ascii="Calibri" w:hAnsi="Calibri"/>
          <w:b/>
          <w:color w:val="1A2010"/>
          <w:sz w:val="22"/>
        </w:rPr>
        <w:t>Courage To Lead</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(0/2): MaxCyte faces declining revenue (Q2 2026 down 15% YoY, full-year guidance of $30-32M implies contraction) and deeply negative margins (-115%), yet there is limited evidence of courageous long-term investment decisions [1]. The $10M share repurchase program is modest capital allocation. CEO Masoud has been in the role since January 2024 and organizational streamlining (likely including layoffs) during revenue decline does not represent the kind of costly long-term bet that demonstrates Sinek's courage — it is survival management.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MaxCyte holds a unique position in the cell therapy infrastructure ecosystem — its Flow Electroporation technology was instrumental in creating CASGEVY, the first FDA-approved non-viral cell therapy, validating the platform's clinical-grade capabilities [1][3]. The company's 150+ biopharma customer relationships and proprietary technology create meaningful competitive moats. With a clean balance sheet (D/E 10.87% and substantial cash reserves), MaxCyte has approximately 2-3 years of runway at current burn rates, providing time for the cell therapy market to mature and for SPL milestones to convert to revenue. The Inspire Impact Score of 48 (ALIGNED) reflects genuine healthcare contributions. The stock at $1.18 prices the company at roughly 1x cash, suggesting the market assigns near-zero value to the technology platform.</w:t>
      </w:r>
    </w:p>
    <w:p>
      <w:pPr>
        <w:spacing w:after="120"/>
      </w:pPr>
      <w:r>
        <w:rPr>
          <w:rFonts w:ascii="Calibri" w:hAnsi="Calibri"/>
          <w:b w:val="0"/>
          <w:color w:val="3A4A28"/>
          <w:sz w:val="20"/>
        </w:rPr>
        <w:t>The bear case is severe: Q2 2026 revenue of $7.3M declined 15% YoY with core revenue down 21%, driven by reduced purchases from the largest customer [1]. FY2026 guidance of $30-32M implies further contraction from FY2025's $33M. The -114.8% profit margin means the company burns roughly $35-40M annually. The stock has declined 14.5% from $1.38 to $1.18 since the last screen, and daily dollar volume of ~$864K still falls below the $1M IOWN liquidity floor [4]. Glassdoor reviews cite 'terrible leadership post 2024' and 'too many restructuring rounds,' indicating organizational dysfunction [2]. MaxCyte needs a fundamental inflection in cell therapy demand that has not materialized despite the CASGEVY proof point. The negative forward P/E (-4.8x) confirms analysts expect continued losses. While the Inspire Impact Score provides faith-alignment, the investment fundamentals are deeply challenged.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Cell therapy market inflection driven by additional non-viral gene therapy FDA approvals using MaxCyte's electroporation technology, converting technology validation into commercial volume beyond CASGEVY [1][3]</w:t>
      </w:r>
    </w:p>
    <w:p>
      <w:pPr>
        <w:spacing w:before="40" w:after="40"/>
        <w:ind w:left="283"/>
      </w:pPr>
      <w:r>
        <w:rPr>
          <w:rFonts w:ascii="Calibri" w:hAnsi="Calibri"/>
          <w:b/>
          <w:color w:val="4A6B25"/>
          <w:sz w:val="20"/>
        </w:rPr>
        <w:t xml:space="preserve">2. </w:t>
      </w:r>
      <w:r>
        <w:rPr>
          <w:rFonts w:ascii="Calibri" w:hAnsi="Calibri"/>
          <w:b w:val="0"/>
          <w:color w:val="3A4A28"/>
          <w:sz w:val="20"/>
        </w:rPr>
        <w:t>SPL milestone revenue recognition from strategic partners advancing through clinical trials — SPL revenue grew to $0.8M in Q2 2026 from $0.3M prior year, with $5M full-year target concentrated in H2 2026 [1]</w:t>
      </w:r>
    </w:p>
    <w:p>
      <w:pPr>
        <w:spacing w:before="40" w:after="40"/>
        <w:ind w:left="283"/>
      </w:pPr>
      <w:r>
        <w:rPr>
          <w:rFonts w:ascii="Calibri" w:hAnsi="Calibri"/>
          <w:b/>
          <w:color w:val="4A6B25"/>
          <w:sz w:val="20"/>
        </w:rPr>
        <w:t xml:space="preserve">3. </w:t>
      </w:r>
      <w:r>
        <w:rPr>
          <w:rFonts w:ascii="Calibri" w:hAnsi="Calibri"/>
          <w:b w:val="0"/>
          <w:color w:val="3A4A28"/>
          <w:sz w:val="20"/>
        </w:rPr>
        <w:t>SeQure DX gene editing services gaining traction as biopharma companies outsource cell engineering, providing higher-margin recurring revenue beyond instrument sales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Revenue in structural decline — Q2 2026 core revenue down 21% YoY with largest customer reducing purchases, and FY2026 guidance of $30-32M implies contraction from 2025's $33M [1]</w:t>
      </w:r>
    </w:p>
    <w:p>
      <w:pPr>
        <w:spacing w:before="40" w:after="40"/>
        <w:ind w:left="283"/>
      </w:pPr>
      <w:r>
        <w:rPr>
          <w:rFonts w:ascii="Calibri" w:hAnsi="Calibri"/>
          <w:b/>
          <w:color w:val="4A6B25"/>
          <w:sz w:val="20"/>
        </w:rPr>
        <w:t xml:space="preserve">2. </w:t>
      </w:r>
      <w:r>
        <w:rPr>
          <w:rFonts w:ascii="Calibri" w:hAnsi="Calibri"/>
          <w:b w:val="0"/>
          <w:color w:val="3A4A28"/>
          <w:sz w:val="20"/>
        </w:rPr>
        <w:t>Cash runway of approximately 2-3 years at current burn rates creates existential risk if cell therapy demand does not accelerate or capital markets remain closed to unprofitable biotechs [4]</w:t>
      </w:r>
    </w:p>
    <w:p>
      <w:pPr>
        <w:spacing w:before="40" w:after="40"/>
        <w:ind w:left="283"/>
      </w:pPr>
      <w:r>
        <w:rPr>
          <w:rFonts w:ascii="Calibri" w:hAnsi="Calibri"/>
          <w:b/>
          <w:color w:val="4A6B25"/>
          <w:sz w:val="20"/>
        </w:rPr>
        <w:t xml:space="preserve">3. </w:t>
      </w:r>
      <w:r>
        <w:rPr>
          <w:rFonts w:ascii="Calibri" w:hAnsi="Calibri"/>
          <w:b w:val="0"/>
          <w:color w:val="3A4A28"/>
          <w:sz w:val="20"/>
        </w:rPr>
        <w:t>Organizational dysfunction — Glassdoor reviews cite 'terrible leadership post 2024' and 'too many restructuring rounds,' signaling talent retention risk that could undermine the company's ability to execute its services pivot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MaxCyte's core business — manufacturing and selling physical electroporation instruments for cell engineering — involves proprietary hardware and biological processes that AI structurally cannot replace [3]. The transfection of cells requires physical electrical pulses to create temporary pores in cell membranes, governed by physics and biology rather than data processing. FDA regulatory requirements for GMP manufacturing equipment create additional barriers to substitution. AI may enhance cell therapy development workflows (target identification, protocol optimization), but the physical electroporation step remains essential. The modest risk is that AI-designed alternative delivery mechanisms could eventually compete, but this is speculative and long-term. AI Opportunity (0/1): MaxCyte does not generate revenue from AI products or services. The company's value proposition is entirely biological/physical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48</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Ethics </w:t>
      </w:r>
      <w:r>
        <w:rPr>
          <w:rFonts w:ascii="Calibri" w:hAnsi="Calibri"/>
          <w:b w:val="0"/>
          <w:color w:val="9DAF88"/>
          <w:sz w:val="17"/>
        </w:rPr>
        <w:t xml:space="preserve">  ·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MaxCyte Q2 2026 Financial Results — Total Revenue $7.3M (-15% YoY), Core Revenue $6.5M (-21%), SPL Revenue $0.8M, H1 2026 Revenue $16.9M (-10%); MaxCyte Investor Relations / Yahoo Finance, August 2026</w:t>
      </w:r>
    </w:p>
    <w:p>
      <w:pPr>
        <w:spacing w:before="20" w:after="20"/>
        <w:ind w:left="170"/>
      </w:pPr>
      <w:r>
        <w:rPr>
          <w:rFonts w:ascii="Calibri" w:hAnsi="Calibri"/>
          <w:b/>
          <w:color w:val="4A6B25"/>
          <w:sz w:val="15"/>
        </w:rPr>
        <w:t xml:space="preserve">2. </w:t>
      </w:r>
      <w:r>
        <w:rPr>
          <w:rFonts w:ascii="Calibri" w:hAnsi="Calibri"/>
          <w:b w:val="0"/>
          <w:color w:val="3A4A28"/>
          <w:sz w:val="17"/>
        </w:rPr>
        <w:t>Glassdoor MaxCyte Reviews — 14 Reviews, Culture Concerns Post-2024, Leadership Transition Challenges, Restructuring Rounds; Glassdoor.com, accessed September 2026</w:t>
      </w:r>
    </w:p>
    <w:p>
      <w:pPr>
        <w:spacing w:before="20" w:after="20"/>
        <w:ind w:left="170"/>
      </w:pPr>
      <w:r>
        <w:rPr>
          <w:rFonts w:ascii="Calibri" w:hAnsi="Calibri"/>
          <w:b/>
          <w:color w:val="4A6B25"/>
          <w:sz w:val="15"/>
        </w:rPr>
        <w:t xml:space="preserve">3. </w:t>
      </w:r>
      <w:r>
        <w:rPr>
          <w:rFonts w:ascii="Calibri" w:hAnsi="Calibri"/>
          <w:b w:val="0"/>
          <w:color w:val="3A4A28"/>
          <w:sz w:val="17"/>
        </w:rPr>
        <w:t>MaxCyte Company Overview — Flow Electroporation, CASGEVY Partnership, 150+ Customers, SeQure DX Services, CEO Maher Masoud; maxcyte.com, accessed September 2026</w:t>
      </w:r>
    </w:p>
    <w:p>
      <w:pPr>
        <w:spacing w:before="20" w:after="20"/>
        <w:ind w:left="170"/>
      </w:pPr>
      <w:r>
        <w:rPr>
          <w:rFonts w:ascii="Calibri" w:hAnsi="Calibri"/>
          <w:b/>
          <w:color w:val="4A6B25"/>
          <w:sz w:val="15"/>
        </w:rPr>
        <w:t xml:space="preserve">4. </w:t>
      </w:r>
      <w:r>
        <w:rPr>
          <w:rFonts w:ascii="Calibri" w:hAnsi="Calibri"/>
          <w:b w:val="0"/>
          <w:color w:val="3A4A28"/>
          <w:sz w:val="17"/>
        </w:rPr>
        <w:t>Yahoo Finance — MXCT Key Statistics: Stock Price $1.18, Forward P/E -4.81, D/E 10.87%, ROE -20.39%, Profit Margin -114.77%, Avg Volume 731K, Market Cap $122M;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