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w:t>
      </w:r>
      <w:r>
        <w:rPr>
          <w:rFonts w:ascii="Calibri" w:hAnsi="Calibri"/>
          <w:b/>
          <w:color w:val="1A2010"/>
          <w:sz w:val="40"/>
        </w:rPr>
        <w:t xml:space="preserve">  Macy's, Inc.</w:t>
      </w:r>
    </w:p>
    <w:p>
      <w:pPr>
        <w:spacing w:after="120"/>
      </w:pPr>
      <w:r>
        <w:rPr>
          <w:rFonts w:ascii="Calibri" w:hAnsi="Calibri"/>
          <w:b/>
          <w:color w:val="6E8450"/>
          <w:sz w:val="18"/>
        </w:rPr>
        <w:t>DIVIDEND SLEEVE · 2026-10-15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Department Stores · NYQ · United States</w:t>
      </w:r>
    </w:p>
    <w:p>
      <w:pPr>
        <w:spacing w:after="80"/>
      </w:pPr>
      <w:r>
        <w:rPr>
          <w:rFonts w:ascii="Calibri" w:hAnsi="Calibri"/>
          <w:b w:val="0"/>
          <w:color w:val="3A4A28"/>
          <w:sz w:val="20"/>
        </w:rPr>
        <w:t>Macy's, Inc. operates approximately 700 retail stores across three brands: Macy's department stores, Bloomingdale's luxury stores, and Bluemercury beauty specialty stores. Under CEO Tony Spring's 'Bold New Chapter' strategy launched in 2024, the company is closing ~150 underperforming locations (timeline extended to 2028 to maximize real estate sale values), investing in approximately 200 Reimagine top-performing stores, and deploying AI-powered tools including the 'Ask Macy's' Gemini-powered shopping assistant. FY2026 (ending Jan 2026) revenue was $22.6B with 3.0% Q1 comp sales growth — the best Q1 in four years. Reimagine stores saw 2.7% same-store sales growth.</w:t>
      </w:r>
    </w:p>
    <w:p>
      <w:r>
        <w:rPr>
          <w:rFonts w:ascii="Calibri" w:hAnsi="Calibri"/>
          <w:b/>
          <w:color w:val="6E8450"/>
          <w:sz w:val="18"/>
        </w:rPr>
        <w:t>90,134 Employees · https://www.macysinc.com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Tony Spring's Bold New Chapter turnaround delivered Q1 FY2026 comparable sales growth of 3.0% — the strongest Q1 in four years — with Bloomingdale's posting record Q1 sales with 10.2% comp growth for seven consecutive quarters, and Bluemercury comps accelerating to 6.4% [1]. The Reimagine 200 stores outperformed the broader Macy's banner by 2.4% in comps. However, this is turnaround execution on existing retail formats, not transformative business model reinvention. AI Deployment (2/2): 'Ask Macy's' Gemini-powered AI shopping assistant launched March 2026 with 'Complete the Look' virtual try-on driving nearly 5x more spending per session [2]. AI deployed for demand forecasting, dynamic pricing, predictive inventory, and leadership coaching for 6,000 managers. CEO Spring: 'We are not buying shiny objects. We are solving problems.' Highly automated China Grove, NC distribution center improved e-commerce delivery speed and store inventory control [2]. Market Share (1/2): Macy's remains the largest U.S. department store chain by revenue but operates in a secularly declining format losing share to e-commerce, off-price retailers (TJX, Ross), and direct-to-consumer brands [1]. Product Pipeline (0/2): No next-generation products or category expansions with specific timelines beyond current store rationalization. The closure timeline was extended to 2028 to maximize real estate sale values [1]. R&amp;D Intensity (1/1): CIO-led technology investment including 'Ask Macy's' AI chatbot, AI coaching, and quarterly capitalized software investment demonstrate above-average technology commitment relative to retail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Macy's articulates its purpose through the 'Mission Every One' enterprise social purpose platform, launched in 2022 with a $5B commitment toward social impact [3]. CEO Spring has driven cultural transformation, encouraging leaders to 'break' the existing culture and innovate [2]. However, the company's core purpose remains retail merchandise and the purpose reads as turnaround-era repositioning rather than a deeply held multi-decade cause. Community Impact (2/2): Mission Every One has directed $100M+ to nonprofits supporting underrepresented youth, emotional well-being, and education, with approximately 1,000 Social Impact Captains operating across the country [3]. Joined Better Cotton, partnered with WWF for water stewardship, published animal welfare policies. The iconic Thanksgiving Day Parade provides significant cultural community impact. 65% ethnically diverse workforce with 76% female colleagues [3]. Employee Retention (0/2): No specific voluntary turnover or average tenure data identified. Retail inherently has high turnover, and Spring's admission that the culture needed 'breaking' suggests retention challenges [2]. Approximately 8% of workforce is unionized. Insider Buying (0/2): No evidence of meaningful net open-market insider buying by CEO Spring or other executives. Insider ownership is only 3.18%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Forward P/E of 9.91x scores a perfect 1.0, reflecting deep value pricing well below the 20x target [4]. Payout ratio of 27.4% scores 1.0, indicating well-covered dividends. D/E of 103.3% scores 0.86, improved from 115% as the company deleverages through asset sales against $5.1B debt and $1.3B cash [4]. ROE of 16.0% crosses above the 15% target (score 1.0), reflecting improving profitability with trailing EPS of $2.72 [4]. Revenue growth YoY of 1.2% scores 0.71, a significant improvement from -3.6% in the prior period. Estimated 5yr revenue CAGR of approximately 0% scores 0.33, reflecting secular decline offset by post-COVID recovery. Profit margin of 3.3% scores 0.16, the primary financial weakness — thin margins leave minimal buffer against tariff costs or consumer spending deterioration. Dividend profile: 5 consecutive years paid since COVID reinstatement scores 0.50 (2x weight), 5 consecutive years growth scores 0.50 (1x), and 5yr dividend growth CAGR of ~5.0% scores 0.83 (2x weight) [4]. Weighted sum: 8.23/12 = 6.9. Liquidity floor cleared: $23.62 x 5.9M avg vol = $139M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Macy's 196-year history demonstrates remarkable institutional endurance, but Sinek would see a company executing a survival strategy rather than advancing a Just Cause. CEO Spring's Bold New Chapter is a well-executed turnaround plan — closing ~150 stores, investing in top performers, deploying AI — but the fundamental question is whether Macy's is playing to keep playing or playing to not lose. The leadership development investments and cultural transformation show intentionality, but the competitive language centers on defending market position rather than building something enduring beyond the current retail format.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Macy's 'Mission Every One' platform and $5B social impact commitment are significant corporate initiatives, but the company's core purpose — selling merchandise through department stores — is not a Just Cause in Sinek's framework [3]. The Bold New Chapter is a turnaround plan, not a vision of a future state so appealing people would sacrifice to advance it. The 196-year heritage and iconic Thanksgiving Day Parade provide cultural significance, but longevity alone does not constitute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Spring's investment in leadership development — personal executive coaches for all 200 VP-level leaders, AI-powered coaching for 6,000 managers, and the Heritage Room museum to build employee pride — demonstrates commitment to building trust [2]. His directive to new leaders ('I hired you to break the culture and innovate') signals willingness to embrace risk-taking. However, Spring acknowledged Macy's was 'notorious for how siloed its teams and culture were,' and ongoing store closures create organizational uncertainty that works against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Macy's leadership acknowledging specific competitors' strengths as motivation for self-improvement. Competitive framing is defensive — positioning in-store experience against e-commerce rather than studying what Amazon, TJX, or luxury digital platforms do better [2]. The elimination of 50 innovation projects reflects discipline but not competitive humility.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Macy's has evolved incrementally — closing ~150 underperforming stores, investing in Reimagine 200 renovations, launching AI-powered digital tools, and expanding Bloomingdale's and Bluemercury luxury brands [1]. The decision to extend the closure timeline to 2028 to get higher real estate prices shows strategic patience. However, Macy's remains fundamentally a department store operator with no transformative reinvention of its business model — the changes are adaptive improvements within the existing format.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Spring has demonstrated willingness to accept short-term pain — closing ~150 stores (25%+ of square footage), rejecting the Arkhouse-Brigade acquisition bid to pursue independent transformation, eliminating 50 innovation projects to focus resources, and extending the closure timeline to 2028 to maximize property sale values rather than rushing dispositions [1][2]. However, the 2024 accounting scandal ($151M in hidden delivery expenses) exposed internal control failures that suggest institutional risk management needs strengthening.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Macy's at $23.62 with a $6.2B market cap trades at 9.9x forward earnings with a 3.4% dividend yield, representing deep value in a turnaround showing genuine traction. Revenue growth turned positive at 1.2% YoY, ROE crossed above 15% to 16.0%, and D/E improved to 103% as the company deleverages [4]. The Bold New Chapter turnaround delivered Q1 FY2026 comparable sales growth of 3.0% — best in four years — with Bloomingdale's posting record sales with 10.2% comp growth for seven consecutive quarters [1]. The 'Ask Macy's' Gemini-powered AI assistant driving 5x engagement per session demonstrates technology-driven value creation, and the automated China Grove distribution center improves fulfillment efficiency [2]. The closure timeline extension to 2028 to maximize property sale values signals a company operating from financial strength, not distress. The balance sheet supports the turnaround: $1.3B cash, $5.1B debt with no material maturities near-term, and a 27.4% payout ratio funding the growing dividend alongside buybacks [4].</w:t>
      </w:r>
    </w:p>
    <w:p>
      <w:pPr>
        <w:spacing w:after="120"/>
      </w:pPr>
      <w:r>
        <w:rPr>
          <w:rFonts w:ascii="Calibri" w:hAnsi="Calibri"/>
          <w:b w:val="0"/>
          <w:color w:val="3A4A28"/>
          <w:sz w:val="20"/>
        </w:rPr>
        <w:t>The bear case centers on secular decline and margin fragility. Revenue has contracted from $25.45B (FY2023) to $22.6B (FY2026) — an 11% shrinkage over three fiscal years driven by store closures and the structural consumer shift from department stores to e-commerce, off-price (TJX, Ross), and direct-to-consumer brands [1]. Net profit margin of 3.3% provides virtually zero buffer against tariff headwinds, consumer spending weakness, or operational missteps. Forward EPS of $2.38 implies earnings decline from the $2.72 trailing, and PEG of 2.64 suggests overvaluation relative to growth. The 2024 accounting scandal ($151M in hidden delivery expenses) exposed internal control failures. The dividend was suspended during COVID in 2020 with only 5 consecutive years since reinstatement, and the absolute dividend level ($0.77/share) remains far below the pre-COVID $1.51. The Inspire Impact Score of -67 (MISALIGNED) with negative attributions for Abortion Activism and LGBT Activism limits allocation for faith-based investors despite 13 positive ESG attributions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Reimagine 200 store renovation program delivering +2.4% comp sales outperformance versus the broader Macy's banner, with Bloomingdale's sustaining 10.2% comp growth for seven consecutive quarters, validating the luxury portfolio strategy [1]</w:t>
      </w:r>
    </w:p>
    <w:p>
      <w:pPr>
        <w:spacing w:before="40" w:after="40"/>
        <w:ind w:left="283"/>
      </w:pPr>
      <w:r>
        <w:rPr>
          <w:rFonts w:ascii="Calibri" w:hAnsi="Calibri"/>
          <w:b/>
          <w:color w:val="4A6B25"/>
          <w:sz w:val="20"/>
        </w:rPr>
        <w:t xml:space="preserve">2. </w:t>
      </w:r>
      <w:r>
        <w:rPr>
          <w:rFonts w:ascii="Calibri" w:hAnsi="Calibri"/>
          <w:b w:val="0"/>
          <w:color w:val="3A4A28"/>
          <w:sz w:val="20"/>
        </w:rPr>
        <w:t>AI-powered 'Ask Macy's' Gemini shopping assistant driving 5x spending per session, plus AI demand forecasting, dynamic pricing, and automated distribution creating measurable operational advantages over less digitally advanced retail peers [2]</w:t>
      </w:r>
    </w:p>
    <w:p>
      <w:pPr>
        <w:spacing w:before="40" w:after="40"/>
        <w:ind w:left="283"/>
      </w:pPr>
      <w:r>
        <w:rPr>
          <w:rFonts w:ascii="Calibri" w:hAnsi="Calibri"/>
          <w:b/>
          <w:color w:val="4A6B25"/>
          <w:sz w:val="20"/>
        </w:rPr>
        <w:t xml:space="preserve">3. </w:t>
      </w:r>
      <w:r>
        <w:rPr>
          <w:rFonts w:ascii="Calibri" w:hAnsi="Calibri"/>
          <w:b w:val="0"/>
          <w:color w:val="3A4A28"/>
          <w:sz w:val="20"/>
        </w:rPr>
        <w:t>Balance sheet improvement — D/E declining to 103%, ROE crossing above 15% to 16.0%, payout ratio at conservative 27.4%, and closure timeline extension to 2028 signaling operational strength rather than distressed liquidation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of the department store format — revenue contracted 11% from $25.45B (FY2023) to $22.6B (FY2026) as consumers shift to e-commerce, off-price retailers, and direct-to-consumer brands, with ~150 store closures extended to 2028 [1]</w:t>
      </w:r>
    </w:p>
    <w:p>
      <w:pPr>
        <w:spacing w:before="40" w:after="40"/>
        <w:ind w:left="283"/>
      </w:pPr>
      <w:r>
        <w:rPr>
          <w:rFonts w:ascii="Calibri" w:hAnsi="Calibri"/>
          <w:b/>
          <w:color w:val="4A6B25"/>
          <w:sz w:val="20"/>
        </w:rPr>
        <w:t xml:space="preserve">2. </w:t>
      </w:r>
      <w:r>
        <w:rPr>
          <w:rFonts w:ascii="Calibri" w:hAnsi="Calibri"/>
          <w:b w:val="0"/>
          <w:color w:val="3A4A28"/>
          <w:sz w:val="20"/>
        </w:rPr>
        <w:t>Razor-thin 3.3% net profit margin leaves minimal buffer against tariff-driven cost inflation, consumer spending deterioration, or execution missteps in the Bold New Chapter transformation [4]</w:t>
      </w:r>
    </w:p>
    <w:p>
      <w:pPr>
        <w:spacing w:before="40" w:after="40"/>
        <w:ind w:left="283"/>
      </w:pPr>
      <w:r>
        <w:rPr>
          <w:rFonts w:ascii="Calibri" w:hAnsi="Calibri"/>
          <w:b/>
          <w:color w:val="4A6B25"/>
          <w:sz w:val="20"/>
        </w:rPr>
        <w:t xml:space="preserve">3. </w:t>
      </w:r>
      <w:r>
        <w:rPr>
          <w:rFonts w:ascii="Calibri" w:hAnsi="Calibri"/>
          <w:b w:val="0"/>
          <w:color w:val="3A4A28"/>
          <w:sz w:val="20"/>
        </w:rPr>
        <w:t>Institutional risk from the 2024 accounting scandal ($151M hidden delivery expenses) and consumer cyclicality exposure as a mid-market discretionary retailer sensitive to recession and trade-down behavior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Macy's core business involves physical retail operations — in-store shopping experiences, real estate assets, brand relationships, and omnichannel fulfillment infrastructure — that AI cannot structurally displace [1]. The department store format faces competitive pressure from e-commerce and off-price retail, but these are pre-existing industry dynamics, not AI-driven substitution. AI-powered recommendation engines and shopping assistants from Amazon and Google could redirect consumer discovery traffic and compress the curation advantage premium retailers held. However, Macy's physical presence, vendor relationships, luxury brand partnerships (Bloomingdale's), and the experiential nature of apparel and beauty shopping provide defensive moats. Analysts have not flagged AI as a material disruption risk specific to the department store sector [2]. AI Opportunity (0/1): While Macy's has deployed AI effectively — 'Ask Macy's' driving 5x engagement, AI-powered demand forecasting, dynamic pricing, and leadership coaching for 6,000 managers — no specific AI-attributed revenue figures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Macy's Q1 FY2026 Earnings and Store Strategy — Comp Sales +3.0%, Bloomingdale's +10.2% (7 Consecutive Quarters Record), Reimagine Stores +2.4% Outperformance, Closure Timeline Extended to 2028, CoStar / Fox News / SEC Filings, 2026</w:t>
      </w:r>
    </w:p>
    <w:p>
      <w:pPr>
        <w:spacing w:before="20" w:after="20"/>
        <w:ind w:left="170"/>
      </w:pPr>
      <w:r>
        <w:rPr>
          <w:rFonts w:ascii="Calibri" w:hAnsi="Calibri"/>
          <w:b/>
          <w:color w:val="4A6B25"/>
          <w:sz w:val="15"/>
        </w:rPr>
        <w:t xml:space="preserve">2. </w:t>
      </w:r>
      <w:r>
        <w:rPr>
          <w:rFonts w:ascii="Calibri" w:hAnsi="Calibri"/>
          <w:b w:val="0"/>
          <w:color w:val="3A4A28"/>
          <w:sz w:val="17"/>
        </w:rPr>
        <w:t>Fortune / MIT Technology Review / Retail Dive — 'Ask Macy's' Gemini AI Assistant 5x Engagement, AI Demand Forecasting, China Grove Automated DC, CEO Spring Leadership, Max Magni CDO Cuts 50 Projects, June 2026</w:t>
      </w:r>
    </w:p>
    <w:p>
      <w:pPr>
        <w:spacing w:before="20" w:after="20"/>
        <w:ind w:left="170"/>
      </w:pPr>
      <w:r>
        <w:rPr>
          <w:rFonts w:ascii="Calibri" w:hAnsi="Calibri"/>
          <w:b/>
          <w:color w:val="4A6B25"/>
          <w:sz w:val="15"/>
        </w:rPr>
        <w:t xml:space="preserve">3. </w:t>
      </w:r>
      <w:r>
        <w:rPr>
          <w:rFonts w:ascii="Calibri" w:hAnsi="Calibri"/>
          <w:b w:val="0"/>
          <w:color w:val="3A4A28"/>
          <w:sz w:val="17"/>
        </w:rPr>
        <w:t>Macy's ESG and Governance — Mission Every One $5B Commitment, $100M+ to Nonprofits, 65% Diverse Workforce, 2024 Accounting Scandal ($151M), CDP Climate B Score, Sustainalytics Moderate Controversy,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 Key Statistics: Price $23.62, Market Cap $6.2B, Forward P/E 9.91, Trailing P/E 8.68, ROE 16.0%, D/E 103.3%, Profit Margin 3.29%, Dividend Yield 3.37%,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